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142E9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4CB204CF" w14:textId="77777777" w:rsidR="00142E97" w:rsidRPr="00142E97" w:rsidRDefault="00142E97" w:rsidP="00142E97">
      <w:pPr>
        <w:tabs>
          <w:tab w:val="left" w:pos="7815"/>
        </w:tabs>
        <w:rPr>
          <w:b/>
          <w:bCs/>
          <w:sz w:val="24"/>
          <w:szCs w:val="24"/>
          <w:lang w:val="uk-UA"/>
        </w:rPr>
      </w:pPr>
      <w:r w:rsidRPr="00142E97">
        <w:rPr>
          <w:b/>
          <w:bCs/>
          <w:sz w:val="24"/>
          <w:szCs w:val="24"/>
        </w:rPr>
        <w:t xml:space="preserve">Про </w:t>
      </w:r>
      <w:proofErr w:type="spellStart"/>
      <w:r w:rsidRPr="00142E97">
        <w:rPr>
          <w:b/>
          <w:bCs/>
          <w:sz w:val="24"/>
          <w:szCs w:val="24"/>
        </w:rPr>
        <w:t>затвердження</w:t>
      </w:r>
      <w:proofErr w:type="spellEnd"/>
      <w:r w:rsidRPr="00142E97">
        <w:rPr>
          <w:b/>
          <w:bCs/>
          <w:sz w:val="24"/>
          <w:szCs w:val="24"/>
        </w:rPr>
        <w:t xml:space="preserve"> Плану </w:t>
      </w:r>
      <w:r w:rsidRPr="00142E97">
        <w:rPr>
          <w:b/>
          <w:bCs/>
          <w:sz w:val="24"/>
          <w:szCs w:val="24"/>
          <w:lang w:val="uk-UA"/>
        </w:rPr>
        <w:t>формування</w:t>
      </w:r>
    </w:p>
    <w:p w14:paraId="646F647F" w14:textId="77777777" w:rsidR="00142E97" w:rsidRPr="00142E97" w:rsidRDefault="00142E97" w:rsidP="00142E97">
      <w:pPr>
        <w:tabs>
          <w:tab w:val="left" w:pos="7815"/>
        </w:tabs>
        <w:rPr>
          <w:b/>
          <w:bCs/>
          <w:sz w:val="24"/>
          <w:szCs w:val="24"/>
        </w:rPr>
      </w:pPr>
      <w:proofErr w:type="spellStart"/>
      <w:r w:rsidRPr="00142E97">
        <w:rPr>
          <w:b/>
          <w:bCs/>
          <w:sz w:val="24"/>
          <w:szCs w:val="24"/>
        </w:rPr>
        <w:t>мережі</w:t>
      </w:r>
      <w:proofErr w:type="spellEnd"/>
      <w:r w:rsidRPr="00142E97">
        <w:rPr>
          <w:b/>
          <w:bCs/>
          <w:sz w:val="24"/>
          <w:szCs w:val="24"/>
        </w:rPr>
        <w:t xml:space="preserve"> </w:t>
      </w:r>
      <w:proofErr w:type="spellStart"/>
      <w:r w:rsidRPr="00142E97">
        <w:rPr>
          <w:b/>
          <w:bCs/>
          <w:sz w:val="24"/>
          <w:szCs w:val="24"/>
        </w:rPr>
        <w:t>закладів</w:t>
      </w:r>
      <w:proofErr w:type="spellEnd"/>
      <w:r w:rsidRPr="00142E97">
        <w:rPr>
          <w:b/>
          <w:bCs/>
          <w:sz w:val="24"/>
          <w:szCs w:val="24"/>
        </w:rPr>
        <w:t xml:space="preserve"> </w:t>
      </w:r>
      <w:proofErr w:type="spellStart"/>
      <w:r w:rsidRPr="00142E97">
        <w:rPr>
          <w:b/>
          <w:bCs/>
          <w:sz w:val="24"/>
          <w:szCs w:val="24"/>
        </w:rPr>
        <w:t>загальної</w:t>
      </w:r>
      <w:proofErr w:type="spellEnd"/>
      <w:r w:rsidRPr="00142E97">
        <w:rPr>
          <w:b/>
          <w:bCs/>
          <w:sz w:val="24"/>
          <w:szCs w:val="24"/>
        </w:rPr>
        <w:t xml:space="preserve"> </w:t>
      </w:r>
      <w:proofErr w:type="spellStart"/>
      <w:r w:rsidRPr="00142E97">
        <w:rPr>
          <w:b/>
          <w:bCs/>
          <w:sz w:val="24"/>
          <w:szCs w:val="24"/>
        </w:rPr>
        <w:t>середньої</w:t>
      </w:r>
      <w:proofErr w:type="spellEnd"/>
      <w:r w:rsidRPr="00142E97">
        <w:rPr>
          <w:b/>
          <w:bCs/>
          <w:sz w:val="24"/>
          <w:szCs w:val="24"/>
        </w:rPr>
        <w:t xml:space="preserve"> </w:t>
      </w:r>
      <w:proofErr w:type="spellStart"/>
      <w:r w:rsidRPr="00142E97">
        <w:rPr>
          <w:b/>
          <w:bCs/>
          <w:sz w:val="24"/>
          <w:szCs w:val="24"/>
        </w:rPr>
        <w:t>освіти</w:t>
      </w:r>
      <w:proofErr w:type="spellEnd"/>
    </w:p>
    <w:p w14:paraId="206F3A2D" w14:textId="77777777" w:rsidR="00142E97" w:rsidRPr="00142E97" w:rsidRDefault="00142E97" w:rsidP="00142E97">
      <w:pPr>
        <w:tabs>
          <w:tab w:val="left" w:pos="7815"/>
        </w:tabs>
        <w:rPr>
          <w:b/>
          <w:bCs/>
          <w:sz w:val="24"/>
          <w:szCs w:val="24"/>
          <w:lang w:val="uk-UA"/>
        </w:rPr>
      </w:pPr>
      <w:r w:rsidRPr="00142E97">
        <w:rPr>
          <w:b/>
          <w:bCs/>
          <w:sz w:val="24"/>
          <w:szCs w:val="24"/>
          <w:lang w:val="uk-UA"/>
        </w:rPr>
        <w:t>Сурсько-Литовської ТГ</w:t>
      </w:r>
    </w:p>
    <w:p w14:paraId="5ED6F1DC" w14:textId="77777777" w:rsidR="00142E97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</w:p>
    <w:p w14:paraId="6617823F" w14:textId="6ADA96C5" w:rsidR="00142E97" w:rsidRPr="00210A99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  <w:r w:rsidRPr="00210A99">
        <w:rPr>
          <w:sz w:val="24"/>
          <w:szCs w:val="24"/>
          <w:lang w:val="uk-UA"/>
        </w:rPr>
        <w:t>Відповідно до</w:t>
      </w:r>
      <w:r w:rsidRPr="00142E97">
        <w:rPr>
          <w:sz w:val="24"/>
          <w:szCs w:val="24"/>
          <w:lang w:val="uk-UA"/>
        </w:rPr>
        <w:t xml:space="preserve"> Закон</w:t>
      </w:r>
      <w:r w:rsidRPr="00210A99">
        <w:rPr>
          <w:sz w:val="24"/>
          <w:szCs w:val="24"/>
          <w:lang w:val="uk-UA"/>
        </w:rPr>
        <w:t>у</w:t>
      </w:r>
      <w:r w:rsidRPr="00142E97">
        <w:rPr>
          <w:sz w:val="24"/>
          <w:szCs w:val="24"/>
          <w:lang w:val="uk-UA"/>
        </w:rPr>
        <w:t xml:space="preserve"> України “Про освіту”</w:t>
      </w:r>
      <w:r w:rsidRPr="00210A99">
        <w:rPr>
          <w:sz w:val="24"/>
          <w:szCs w:val="24"/>
          <w:lang w:val="uk-UA"/>
        </w:rPr>
        <w:t xml:space="preserve">, </w:t>
      </w:r>
      <w:r w:rsidRPr="00142E97">
        <w:rPr>
          <w:sz w:val="24"/>
          <w:szCs w:val="24"/>
          <w:lang w:val="uk-UA"/>
        </w:rPr>
        <w:t>Закон</w:t>
      </w:r>
      <w:r w:rsidRPr="00210A99">
        <w:rPr>
          <w:sz w:val="24"/>
          <w:szCs w:val="24"/>
          <w:lang w:val="uk-UA"/>
        </w:rPr>
        <w:t>у</w:t>
      </w:r>
      <w:r w:rsidRPr="00142E97">
        <w:rPr>
          <w:sz w:val="24"/>
          <w:szCs w:val="24"/>
          <w:lang w:val="uk-UA"/>
        </w:rPr>
        <w:t xml:space="preserve"> України “Про повну загальну середню освіту”</w:t>
      </w:r>
      <w:r w:rsidRPr="00210A99">
        <w:rPr>
          <w:sz w:val="24"/>
          <w:szCs w:val="24"/>
          <w:lang w:val="uk-UA"/>
        </w:rPr>
        <w:t xml:space="preserve">, </w:t>
      </w:r>
      <w:r w:rsidRPr="00142E97">
        <w:rPr>
          <w:sz w:val="24"/>
          <w:szCs w:val="24"/>
          <w:lang w:val="uk-UA"/>
        </w:rPr>
        <w:t>Постанов</w:t>
      </w:r>
      <w:r w:rsidRPr="00210A99">
        <w:rPr>
          <w:sz w:val="24"/>
          <w:szCs w:val="24"/>
          <w:lang w:val="uk-UA"/>
        </w:rPr>
        <w:t>и</w:t>
      </w:r>
      <w:r w:rsidRPr="00142E97">
        <w:rPr>
          <w:sz w:val="24"/>
          <w:szCs w:val="24"/>
          <w:lang w:val="uk-UA"/>
        </w:rPr>
        <w:t xml:space="preserve"> Кабінету Міністрів України від 11 жовтня 2021 року № 1062</w:t>
      </w:r>
      <w:r w:rsidRPr="00210A99">
        <w:rPr>
          <w:sz w:val="24"/>
          <w:szCs w:val="24"/>
          <w:lang w:val="uk-UA"/>
        </w:rPr>
        <w:t xml:space="preserve"> </w:t>
      </w:r>
      <w:r w:rsidRPr="00142E97">
        <w:rPr>
          <w:sz w:val="24"/>
          <w:szCs w:val="24"/>
          <w:lang w:val="uk-UA"/>
        </w:rPr>
        <w:t>“Про затвердження Положення про ліцей”</w:t>
      </w:r>
      <w:r w:rsidRPr="00210A99">
        <w:rPr>
          <w:sz w:val="24"/>
          <w:szCs w:val="24"/>
          <w:lang w:val="uk-UA"/>
        </w:rPr>
        <w:t xml:space="preserve">, </w:t>
      </w:r>
      <w:r w:rsidRPr="00142E97">
        <w:rPr>
          <w:sz w:val="24"/>
          <w:szCs w:val="24"/>
          <w:lang w:val="uk-UA"/>
        </w:rPr>
        <w:t>Постанов</w:t>
      </w:r>
      <w:r w:rsidRPr="00210A99">
        <w:rPr>
          <w:sz w:val="24"/>
          <w:szCs w:val="24"/>
          <w:lang w:val="uk-UA"/>
        </w:rPr>
        <w:t>и</w:t>
      </w:r>
      <w:r w:rsidRPr="00142E97">
        <w:rPr>
          <w:sz w:val="24"/>
          <w:szCs w:val="24"/>
          <w:lang w:val="uk-UA"/>
        </w:rPr>
        <w:t xml:space="preserve"> Кабінету Міністрів України від 22 травня 2019 року № 438</w:t>
      </w:r>
      <w:r w:rsidRPr="00210A99">
        <w:rPr>
          <w:sz w:val="24"/>
          <w:szCs w:val="24"/>
          <w:lang w:val="uk-UA"/>
        </w:rPr>
        <w:t xml:space="preserve"> </w:t>
      </w:r>
      <w:r w:rsidRPr="00142E97">
        <w:rPr>
          <w:sz w:val="24"/>
          <w:szCs w:val="24"/>
          <w:lang w:val="uk-UA"/>
        </w:rPr>
        <w:t>“Про затвердження Положення про науковий ліцей”</w:t>
      </w:r>
      <w:r w:rsidRPr="00210A99">
        <w:rPr>
          <w:sz w:val="24"/>
          <w:szCs w:val="24"/>
          <w:lang w:val="uk-UA"/>
        </w:rPr>
        <w:t>, н</w:t>
      </w:r>
      <w:r w:rsidRPr="00142E97">
        <w:rPr>
          <w:sz w:val="24"/>
          <w:szCs w:val="24"/>
          <w:lang w:val="uk-UA"/>
        </w:rPr>
        <w:t>аказ</w:t>
      </w:r>
      <w:r w:rsidRPr="00210A99">
        <w:rPr>
          <w:sz w:val="24"/>
          <w:szCs w:val="24"/>
          <w:lang w:val="uk-UA"/>
        </w:rPr>
        <w:t>у</w:t>
      </w:r>
      <w:r w:rsidRPr="00142E97">
        <w:rPr>
          <w:sz w:val="24"/>
          <w:szCs w:val="24"/>
          <w:lang w:val="uk-UA"/>
        </w:rPr>
        <w:t xml:space="preserve"> Міністерства освіти і науки України від 16 жовтня 2019 року</w:t>
      </w:r>
      <w:r w:rsidRPr="00210A99">
        <w:rPr>
          <w:sz w:val="24"/>
          <w:szCs w:val="24"/>
          <w:lang w:val="uk-UA"/>
        </w:rPr>
        <w:t xml:space="preserve"> </w:t>
      </w:r>
      <w:r w:rsidRPr="00142E97">
        <w:rPr>
          <w:sz w:val="24"/>
          <w:szCs w:val="24"/>
          <w:lang w:val="uk-UA"/>
        </w:rPr>
        <w:t>№ 1303 “Про затвердження Стандарту спеціалізованої освіти наукового</w:t>
      </w:r>
      <w:r w:rsidRPr="00210A99">
        <w:rPr>
          <w:sz w:val="24"/>
          <w:szCs w:val="24"/>
          <w:lang w:val="uk-UA"/>
        </w:rPr>
        <w:t xml:space="preserve"> </w:t>
      </w:r>
      <w:r w:rsidRPr="00142E97">
        <w:rPr>
          <w:sz w:val="24"/>
          <w:szCs w:val="24"/>
          <w:lang w:val="uk-UA"/>
        </w:rPr>
        <w:t>спрямування”</w:t>
      </w:r>
      <w:r w:rsidRPr="00210A99">
        <w:rPr>
          <w:sz w:val="24"/>
          <w:szCs w:val="24"/>
          <w:lang w:val="uk-UA"/>
        </w:rPr>
        <w:t>, враховуючи вимоги Закону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142E97">
        <w:rPr>
          <w:sz w:val="24"/>
          <w:szCs w:val="24"/>
          <w:lang w:val="uk-UA"/>
        </w:rPr>
        <w:t xml:space="preserve"> враховуючи висновки </w:t>
      </w:r>
      <w:r w:rsidRPr="00210A99">
        <w:rPr>
          <w:sz w:val="24"/>
          <w:szCs w:val="24"/>
          <w:lang w:val="uk-UA"/>
        </w:rPr>
        <w:t>робочої групи з питань формування мережі закладів загальної середньої освіти, Сурсько-Литовська сільська рада</w:t>
      </w:r>
    </w:p>
    <w:p w14:paraId="2EECAA0B" w14:textId="77777777" w:rsidR="00142E97" w:rsidRPr="00210A99" w:rsidRDefault="00142E97" w:rsidP="00142E97">
      <w:pPr>
        <w:tabs>
          <w:tab w:val="left" w:pos="7815"/>
        </w:tabs>
        <w:jc w:val="center"/>
        <w:rPr>
          <w:b/>
          <w:bCs/>
          <w:sz w:val="24"/>
          <w:szCs w:val="24"/>
        </w:rPr>
      </w:pPr>
      <w:r w:rsidRPr="00210A99">
        <w:rPr>
          <w:b/>
          <w:bCs/>
          <w:sz w:val="24"/>
          <w:szCs w:val="24"/>
        </w:rPr>
        <w:t>В И Р І Ш И Л А:</w:t>
      </w:r>
    </w:p>
    <w:p w14:paraId="484424D6" w14:textId="77777777" w:rsidR="00142E97" w:rsidRPr="00210A99" w:rsidRDefault="00142E97" w:rsidP="00142E97">
      <w:pPr>
        <w:tabs>
          <w:tab w:val="left" w:pos="7815"/>
        </w:tabs>
        <w:jc w:val="both"/>
        <w:rPr>
          <w:sz w:val="24"/>
          <w:szCs w:val="24"/>
        </w:rPr>
      </w:pPr>
    </w:p>
    <w:p w14:paraId="79461276" w14:textId="02146790" w:rsidR="00142E97" w:rsidRPr="00210A99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  <w:r w:rsidRPr="00210A99">
        <w:rPr>
          <w:sz w:val="24"/>
          <w:szCs w:val="24"/>
        </w:rPr>
        <w:t xml:space="preserve">1. </w:t>
      </w:r>
      <w:proofErr w:type="spellStart"/>
      <w:r w:rsidRPr="00210A99">
        <w:rPr>
          <w:sz w:val="24"/>
          <w:szCs w:val="24"/>
        </w:rPr>
        <w:t>Затвердити</w:t>
      </w:r>
      <w:proofErr w:type="spellEnd"/>
      <w:r w:rsidRPr="00210A99">
        <w:rPr>
          <w:sz w:val="24"/>
          <w:szCs w:val="24"/>
        </w:rPr>
        <w:t> План</w:t>
      </w:r>
      <w:r>
        <w:rPr>
          <w:sz w:val="24"/>
          <w:szCs w:val="24"/>
          <w:lang w:val="uk-UA"/>
        </w:rPr>
        <w:t xml:space="preserve"> </w:t>
      </w:r>
      <w:r w:rsidRPr="00210A99">
        <w:rPr>
          <w:sz w:val="24"/>
          <w:szCs w:val="24"/>
          <w:lang w:val="uk-UA"/>
        </w:rPr>
        <w:t>формування</w:t>
      </w:r>
      <w:r w:rsidRPr="00210A99">
        <w:rPr>
          <w:sz w:val="24"/>
          <w:szCs w:val="24"/>
        </w:rPr>
        <w:t> </w:t>
      </w:r>
      <w:proofErr w:type="spellStart"/>
      <w:r w:rsidRPr="00210A99">
        <w:rPr>
          <w:sz w:val="24"/>
          <w:szCs w:val="24"/>
        </w:rPr>
        <w:t>мережі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закладів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загальної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середньої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освіти</w:t>
      </w:r>
      <w:proofErr w:type="spellEnd"/>
      <w:r w:rsidRPr="00210A99">
        <w:rPr>
          <w:sz w:val="24"/>
          <w:szCs w:val="24"/>
        </w:rPr>
        <w:t xml:space="preserve"> </w:t>
      </w:r>
      <w:r w:rsidRPr="00210A99">
        <w:rPr>
          <w:sz w:val="24"/>
          <w:szCs w:val="24"/>
          <w:lang w:val="uk-UA"/>
        </w:rPr>
        <w:t>Сурсько-Литовської територіальної громади</w:t>
      </w:r>
      <w:r w:rsidRPr="00210A99">
        <w:rPr>
          <w:sz w:val="24"/>
          <w:szCs w:val="24"/>
        </w:rPr>
        <w:t> </w:t>
      </w:r>
      <w:r w:rsidRPr="00210A99">
        <w:rPr>
          <w:sz w:val="24"/>
          <w:szCs w:val="24"/>
          <w:lang w:val="uk-UA"/>
        </w:rPr>
        <w:t>(План – додається)</w:t>
      </w:r>
    </w:p>
    <w:p w14:paraId="103F2837" w14:textId="77777777" w:rsidR="00142E97" w:rsidRPr="00210A99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  <w:r w:rsidRPr="00210A99">
        <w:rPr>
          <w:sz w:val="24"/>
          <w:szCs w:val="24"/>
        </w:rPr>
        <w:t xml:space="preserve">2. </w:t>
      </w:r>
      <w:r w:rsidRPr="00210A99">
        <w:rPr>
          <w:sz w:val="24"/>
          <w:szCs w:val="24"/>
          <w:lang w:val="uk-UA"/>
        </w:rPr>
        <w:t>Забезпечити проведення консультацій та громадських слухань з питань</w:t>
      </w:r>
      <w:r w:rsidRPr="00210A99">
        <w:rPr>
          <w:sz w:val="24"/>
          <w:szCs w:val="24"/>
        </w:rPr>
        <w:t xml:space="preserve"> </w:t>
      </w:r>
      <w:r w:rsidRPr="00210A99">
        <w:rPr>
          <w:sz w:val="24"/>
          <w:szCs w:val="24"/>
          <w:lang w:val="uk-UA"/>
        </w:rPr>
        <w:t>формування та реалізації державної політики у сфері освіти</w:t>
      </w:r>
    </w:p>
    <w:p w14:paraId="61F67675" w14:textId="77777777" w:rsidR="00142E97" w:rsidRPr="00210A99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  <w:r w:rsidRPr="00210A99">
        <w:rPr>
          <w:sz w:val="24"/>
          <w:szCs w:val="24"/>
          <w:lang w:val="uk-UA"/>
        </w:rPr>
        <w:t>3. Забезпечити оприлюднення результатів громадських слухань у засобах масової комунікації</w:t>
      </w:r>
    </w:p>
    <w:p w14:paraId="472B5459" w14:textId="77777777" w:rsidR="00142E97" w:rsidRDefault="00142E97" w:rsidP="00142E97">
      <w:pPr>
        <w:tabs>
          <w:tab w:val="left" w:pos="7815"/>
        </w:tabs>
        <w:ind w:firstLine="851"/>
        <w:jc w:val="both"/>
        <w:rPr>
          <w:sz w:val="24"/>
          <w:szCs w:val="24"/>
          <w:lang w:val="uk-UA"/>
        </w:rPr>
      </w:pPr>
      <w:r w:rsidRPr="00210A99">
        <w:rPr>
          <w:sz w:val="24"/>
          <w:szCs w:val="24"/>
        </w:rPr>
        <w:t>4. Контроль за </w:t>
      </w:r>
      <w:proofErr w:type="spellStart"/>
      <w:r w:rsidRPr="00210A99">
        <w:rPr>
          <w:sz w:val="24"/>
          <w:szCs w:val="24"/>
        </w:rPr>
        <w:t>виконанням</w:t>
      </w:r>
      <w:proofErr w:type="spellEnd"/>
      <w:r w:rsidRPr="00210A99">
        <w:rPr>
          <w:sz w:val="24"/>
          <w:szCs w:val="24"/>
        </w:rPr>
        <w:t xml:space="preserve">   </w:t>
      </w:r>
      <w:proofErr w:type="spellStart"/>
      <w:r w:rsidRPr="00210A99">
        <w:rPr>
          <w:sz w:val="24"/>
          <w:szCs w:val="24"/>
        </w:rPr>
        <w:t>даного</w:t>
      </w:r>
      <w:proofErr w:type="spellEnd"/>
      <w:r w:rsidRPr="00210A99">
        <w:rPr>
          <w:sz w:val="24"/>
          <w:szCs w:val="24"/>
        </w:rPr>
        <w:t xml:space="preserve">   </w:t>
      </w:r>
      <w:proofErr w:type="spellStart"/>
      <w:r w:rsidRPr="00210A99">
        <w:rPr>
          <w:sz w:val="24"/>
          <w:szCs w:val="24"/>
        </w:rPr>
        <w:t>рішення</w:t>
      </w:r>
      <w:proofErr w:type="spellEnd"/>
      <w:r w:rsidRPr="00210A99">
        <w:rPr>
          <w:sz w:val="24"/>
          <w:szCs w:val="24"/>
        </w:rPr>
        <w:t xml:space="preserve">   </w:t>
      </w:r>
      <w:proofErr w:type="spellStart"/>
      <w:r w:rsidRPr="00210A99">
        <w:rPr>
          <w:sz w:val="24"/>
          <w:szCs w:val="24"/>
        </w:rPr>
        <w:t>покласти</w:t>
      </w:r>
      <w:proofErr w:type="spellEnd"/>
      <w:r w:rsidRPr="00210A99">
        <w:rPr>
          <w:sz w:val="24"/>
          <w:szCs w:val="24"/>
        </w:rPr>
        <w:t> на </w:t>
      </w:r>
      <w:proofErr w:type="spellStart"/>
      <w:r w:rsidRPr="00210A99">
        <w:rPr>
          <w:sz w:val="24"/>
          <w:szCs w:val="24"/>
        </w:rPr>
        <w:t>Відділ</w:t>
      </w:r>
      <w:proofErr w:type="spellEnd"/>
      <w:r w:rsidRPr="00210A99">
        <w:rPr>
          <w:sz w:val="24"/>
          <w:szCs w:val="24"/>
          <w:lang w:val="uk-UA"/>
        </w:rPr>
        <w:t xml:space="preserve"> </w:t>
      </w:r>
      <w:proofErr w:type="spellStart"/>
      <w:r w:rsidRPr="00210A99">
        <w:rPr>
          <w:sz w:val="24"/>
          <w:szCs w:val="24"/>
          <w:lang w:val="uk-UA"/>
        </w:rPr>
        <w:t>гуманітарно</w:t>
      </w:r>
      <w:proofErr w:type="spellEnd"/>
      <w:r w:rsidRPr="00210A99">
        <w:rPr>
          <w:sz w:val="24"/>
          <w:szCs w:val="24"/>
          <w:lang w:val="uk-UA"/>
        </w:rPr>
        <w:t>-соціальної сфери</w:t>
      </w:r>
      <w:r>
        <w:rPr>
          <w:sz w:val="24"/>
          <w:szCs w:val="24"/>
          <w:lang w:val="uk-UA"/>
        </w:rPr>
        <w:t xml:space="preserve"> В</w:t>
      </w:r>
      <w:r w:rsidRPr="00210A99">
        <w:rPr>
          <w:sz w:val="24"/>
          <w:szCs w:val="24"/>
          <w:lang w:val="uk-UA"/>
        </w:rPr>
        <w:t>иконавчого комітету Сурсько-Литовської сільської ради</w:t>
      </w:r>
      <w:r>
        <w:rPr>
          <w:sz w:val="24"/>
          <w:szCs w:val="24"/>
          <w:lang w:val="uk-UA"/>
        </w:rPr>
        <w:t>.</w:t>
      </w:r>
    </w:p>
    <w:p w14:paraId="33B85D45" w14:textId="77777777" w:rsidR="00032903" w:rsidRPr="001632FC" w:rsidRDefault="00032903" w:rsidP="00032903">
      <w:pPr>
        <w:overflowPunct/>
        <w:autoSpaceDE/>
        <w:autoSpaceDN/>
        <w:adjustRightInd/>
        <w:ind w:left="567"/>
        <w:textAlignment w:val="auto"/>
        <w:rPr>
          <w:sz w:val="24"/>
          <w:szCs w:val="24"/>
          <w:lang w:val="uk-UA" w:eastAsia="ru-RU"/>
        </w:rPr>
      </w:pPr>
    </w:p>
    <w:p w14:paraId="21545FDD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CEE6698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20E2AFBC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37C82F5" w14:textId="278AB7F6" w:rsidR="00032903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142E97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>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ADBD544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E91640D" w14:textId="49812E80" w:rsidR="00032903" w:rsidRPr="001632FC" w:rsidRDefault="00032903" w:rsidP="0003290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</w:t>
      </w:r>
      <w:r w:rsidR="00142E97">
        <w:rPr>
          <w:color w:val="000000"/>
          <w:sz w:val="24"/>
          <w:szCs w:val="24"/>
          <w:lang w:val="uk-UA" w:eastAsia="ru-RU"/>
        </w:rPr>
        <w:t xml:space="preserve"> </w:t>
      </w:r>
      <w:r>
        <w:rPr>
          <w:color w:val="000000"/>
          <w:sz w:val="24"/>
          <w:szCs w:val="24"/>
          <w:lang w:val="uk-UA" w:eastAsia="ru-RU"/>
        </w:rPr>
        <w:t>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A5528BF" w14:textId="26DB6367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CCEB29C" w14:textId="2BC2CA60" w:rsidR="00142E97" w:rsidRPr="003E13B2" w:rsidRDefault="00142E97" w:rsidP="00142E9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1042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0F79749" w14:textId="00D89440" w:rsidR="007F4171" w:rsidRDefault="007F4171"/>
    <w:p w14:paraId="0FBC06A3" w14:textId="3B575536" w:rsidR="00A03215" w:rsidRDefault="00A03215"/>
    <w:p w14:paraId="206CCE3A" w14:textId="09303B86" w:rsidR="00A03215" w:rsidRDefault="00A03215"/>
    <w:p w14:paraId="1A683CDA" w14:textId="2BF34160" w:rsidR="00A03215" w:rsidRDefault="00A03215"/>
    <w:p w14:paraId="2E1FD2F9" w14:textId="15ED5ECB" w:rsidR="00A03215" w:rsidRDefault="00A03215"/>
    <w:p w14:paraId="0508B1EB" w14:textId="77777777" w:rsidR="00A03215" w:rsidRDefault="00A03215" w:rsidP="00A03215">
      <w:pPr>
        <w:tabs>
          <w:tab w:val="left" w:pos="7815"/>
        </w:tabs>
        <w:jc w:val="right"/>
        <w:rPr>
          <w:sz w:val="24"/>
          <w:szCs w:val="24"/>
        </w:rPr>
      </w:pPr>
    </w:p>
    <w:p w14:paraId="7BE441EC" w14:textId="4E67F401" w:rsidR="00A03215" w:rsidRPr="00A03215" w:rsidRDefault="00A03215" w:rsidP="00A03215">
      <w:pPr>
        <w:tabs>
          <w:tab w:val="left" w:pos="7815"/>
        </w:tabs>
        <w:jc w:val="right"/>
        <w:rPr>
          <w:sz w:val="24"/>
          <w:szCs w:val="24"/>
          <w:lang w:val="uk-UA"/>
        </w:rPr>
      </w:pPr>
      <w:proofErr w:type="spellStart"/>
      <w:r w:rsidRPr="00A03215">
        <w:rPr>
          <w:sz w:val="24"/>
          <w:szCs w:val="24"/>
        </w:rPr>
        <w:t>Додаток</w:t>
      </w:r>
      <w:proofErr w:type="spellEnd"/>
      <w:r w:rsidRPr="00A03215">
        <w:rPr>
          <w:sz w:val="24"/>
          <w:szCs w:val="24"/>
          <w:lang w:val="uk-UA"/>
        </w:rPr>
        <w:t xml:space="preserve"> до рішення № 1042-20/</w:t>
      </w:r>
      <w:r w:rsidRPr="00A03215">
        <w:rPr>
          <w:sz w:val="24"/>
          <w:szCs w:val="24"/>
          <w:lang w:val="en-US"/>
        </w:rPr>
        <w:t>VIII</w:t>
      </w:r>
      <w:r w:rsidRPr="00A03215">
        <w:rPr>
          <w:sz w:val="24"/>
          <w:szCs w:val="24"/>
        </w:rPr>
        <w:t xml:space="preserve"> </w:t>
      </w:r>
      <w:r w:rsidRPr="00A03215">
        <w:rPr>
          <w:sz w:val="24"/>
          <w:szCs w:val="24"/>
          <w:lang w:val="uk-UA"/>
        </w:rPr>
        <w:t>від 01.05.2023 року</w:t>
      </w:r>
    </w:p>
    <w:p w14:paraId="7EC1F6E3" w14:textId="64411A94" w:rsidR="00A03215" w:rsidRPr="00210A99" w:rsidRDefault="00A03215" w:rsidP="00A03215">
      <w:pPr>
        <w:tabs>
          <w:tab w:val="left" w:pos="7815"/>
        </w:tabs>
        <w:rPr>
          <w:sz w:val="24"/>
          <w:szCs w:val="24"/>
        </w:rPr>
      </w:pPr>
      <w:r w:rsidRPr="00210A99">
        <w:rPr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</w:p>
    <w:p w14:paraId="722961EA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</w:rPr>
      </w:pPr>
    </w:p>
    <w:p w14:paraId="389E4D29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</w:rPr>
      </w:pPr>
    </w:p>
    <w:p w14:paraId="2C03012D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</w:rPr>
      </w:pPr>
      <w:r w:rsidRPr="00210A99">
        <w:rPr>
          <w:sz w:val="24"/>
          <w:szCs w:val="24"/>
        </w:rPr>
        <w:t>ПЛАН</w:t>
      </w:r>
    </w:p>
    <w:p w14:paraId="0A50E8AD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  <w:lang w:val="uk-UA"/>
        </w:rPr>
      </w:pPr>
      <w:proofErr w:type="spellStart"/>
      <w:r w:rsidRPr="00210A99">
        <w:rPr>
          <w:sz w:val="24"/>
          <w:szCs w:val="24"/>
        </w:rPr>
        <w:t>формування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мережі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закладів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загальної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середньої</w:t>
      </w:r>
      <w:proofErr w:type="spellEnd"/>
      <w:r w:rsidRPr="00210A99">
        <w:rPr>
          <w:sz w:val="24"/>
          <w:szCs w:val="24"/>
        </w:rPr>
        <w:t xml:space="preserve"> </w:t>
      </w:r>
      <w:proofErr w:type="spellStart"/>
      <w:r w:rsidRPr="00210A99">
        <w:rPr>
          <w:sz w:val="24"/>
          <w:szCs w:val="24"/>
        </w:rPr>
        <w:t>освіти</w:t>
      </w:r>
      <w:proofErr w:type="spellEnd"/>
      <w:r w:rsidRPr="00210A99">
        <w:rPr>
          <w:sz w:val="24"/>
          <w:szCs w:val="24"/>
          <w:lang w:val="uk-UA"/>
        </w:rPr>
        <w:t xml:space="preserve"> </w:t>
      </w:r>
    </w:p>
    <w:p w14:paraId="5CFAF9B5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  <w:lang w:val="uk-UA"/>
        </w:rPr>
      </w:pPr>
      <w:r w:rsidRPr="00210A99">
        <w:rPr>
          <w:sz w:val="24"/>
          <w:szCs w:val="24"/>
          <w:lang w:val="uk-UA"/>
        </w:rPr>
        <w:t>Сурсько-Литовської ТГ</w:t>
      </w:r>
    </w:p>
    <w:p w14:paraId="234A6BD3" w14:textId="77777777" w:rsidR="00A03215" w:rsidRPr="00210A99" w:rsidRDefault="00A03215" w:rsidP="00A03215">
      <w:pPr>
        <w:tabs>
          <w:tab w:val="left" w:pos="7815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96"/>
        <w:gridCol w:w="3117"/>
        <w:gridCol w:w="2803"/>
        <w:gridCol w:w="3260"/>
      </w:tblGrid>
      <w:tr w:rsidR="00A03215" w:rsidRPr="00210A99" w14:paraId="7F044C55" w14:textId="77777777" w:rsidTr="001C7CAD">
        <w:trPr>
          <w:trHeight w:val="729"/>
        </w:trPr>
        <w:tc>
          <w:tcPr>
            <w:tcW w:w="596" w:type="dxa"/>
          </w:tcPr>
          <w:p w14:paraId="791733AC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</w:rPr>
              <w:t xml:space="preserve">№ з/п </w:t>
            </w:r>
          </w:p>
        </w:tc>
        <w:tc>
          <w:tcPr>
            <w:tcW w:w="3117" w:type="dxa"/>
          </w:tcPr>
          <w:p w14:paraId="0A264C44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10A99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210A99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2803" w:type="dxa"/>
          </w:tcPr>
          <w:p w14:paraId="7A488D10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210A99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3260" w:type="dxa"/>
          </w:tcPr>
          <w:p w14:paraId="4C58A023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10A99">
              <w:rPr>
                <w:b/>
                <w:bCs/>
                <w:sz w:val="24"/>
                <w:szCs w:val="24"/>
              </w:rPr>
              <w:t>Терміни</w:t>
            </w:r>
            <w:proofErr w:type="spellEnd"/>
            <w:r w:rsidRPr="00210A9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A99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</w:tr>
      <w:tr w:rsidR="00A03215" w:rsidRPr="00210A99" w14:paraId="059DC5A2" w14:textId="77777777" w:rsidTr="001C7CAD">
        <w:tc>
          <w:tcPr>
            <w:tcW w:w="596" w:type="dxa"/>
          </w:tcPr>
          <w:p w14:paraId="62F14F1D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17" w:type="dxa"/>
          </w:tcPr>
          <w:p w14:paraId="5E74FDA6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210A99">
              <w:rPr>
                <w:sz w:val="24"/>
                <w:szCs w:val="24"/>
                <w:lang w:val="uk-UA"/>
              </w:rPr>
              <w:t>Проведення інформування та громадських слухань</w:t>
            </w:r>
          </w:p>
        </w:tc>
        <w:tc>
          <w:tcPr>
            <w:tcW w:w="2803" w:type="dxa"/>
          </w:tcPr>
          <w:p w14:paraId="4933BBA5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Виконавчий комітет сільської ради</w:t>
            </w:r>
          </w:p>
        </w:tc>
        <w:tc>
          <w:tcPr>
            <w:tcW w:w="3260" w:type="dxa"/>
          </w:tcPr>
          <w:p w14:paraId="60B289D2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(травень 2023-травень 2024)</w:t>
            </w:r>
          </w:p>
          <w:p w14:paraId="3C5E382C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A03215" w:rsidRPr="00210A99" w14:paraId="5AB21E95" w14:textId="77777777" w:rsidTr="001C7CAD">
        <w:tc>
          <w:tcPr>
            <w:tcW w:w="596" w:type="dxa"/>
          </w:tcPr>
          <w:p w14:paraId="10B37C92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17" w:type="dxa"/>
          </w:tcPr>
          <w:p w14:paraId="50BEA0AA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210A99">
              <w:rPr>
                <w:sz w:val="24"/>
                <w:szCs w:val="24"/>
                <w:lang w:val="uk-UA"/>
              </w:rPr>
              <w:t>Припинення набору учнів 10 класів</w:t>
            </w:r>
          </w:p>
        </w:tc>
        <w:tc>
          <w:tcPr>
            <w:tcW w:w="2803" w:type="dxa"/>
          </w:tcPr>
          <w:p w14:paraId="3C26795E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3260" w:type="dxa"/>
          </w:tcPr>
          <w:p w14:paraId="2B0ADC4C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1 вересень 2026</w:t>
            </w:r>
          </w:p>
        </w:tc>
      </w:tr>
      <w:tr w:rsidR="00A03215" w:rsidRPr="00210A99" w14:paraId="3EEA6DD2" w14:textId="77777777" w:rsidTr="001C7CAD">
        <w:tc>
          <w:tcPr>
            <w:tcW w:w="596" w:type="dxa"/>
          </w:tcPr>
          <w:p w14:paraId="7E4C2533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17" w:type="dxa"/>
          </w:tcPr>
          <w:p w14:paraId="4A3C0505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210A99">
              <w:rPr>
                <w:sz w:val="24"/>
                <w:szCs w:val="24"/>
                <w:lang w:val="uk-UA"/>
              </w:rPr>
              <w:t>Рішення про зміну типу закладів</w:t>
            </w:r>
          </w:p>
        </w:tc>
        <w:tc>
          <w:tcPr>
            <w:tcW w:w="2803" w:type="dxa"/>
          </w:tcPr>
          <w:p w14:paraId="7B997571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3260" w:type="dxa"/>
          </w:tcPr>
          <w:p w14:paraId="493B6E14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(червень 2027)</w:t>
            </w:r>
          </w:p>
          <w:p w14:paraId="07FAE330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A03215" w:rsidRPr="00210A99" w14:paraId="34B63201" w14:textId="77777777" w:rsidTr="001C7CAD">
        <w:tc>
          <w:tcPr>
            <w:tcW w:w="596" w:type="dxa"/>
          </w:tcPr>
          <w:p w14:paraId="4283F2C5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17" w:type="dxa"/>
          </w:tcPr>
          <w:p w14:paraId="5B055578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Здійснення організаційно-правових</w:t>
            </w:r>
          </w:p>
          <w:p w14:paraId="76ACB7A1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заходів у зв’язку із зміною типів закладів.</w:t>
            </w:r>
          </w:p>
        </w:tc>
        <w:tc>
          <w:tcPr>
            <w:tcW w:w="2803" w:type="dxa"/>
          </w:tcPr>
          <w:p w14:paraId="5B0D8FED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both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Керівники закладів загальної середньої освіти</w:t>
            </w:r>
          </w:p>
        </w:tc>
        <w:tc>
          <w:tcPr>
            <w:tcW w:w="3260" w:type="dxa"/>
          </w:tcPr>
          <w:p w14:paraId="32575B6E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  <w:lang w:val="uk-UA"/>
              </w:rPr>
            </w:pPr>
            <w:r w:rsidRPr="00210A99">
              <w:rPr>
                <w:sz w:val="24"/>
                <w:szCs w:val="24"/>
                <w:lang w:val="uk-UA"/>
              </w:rPr>
              <w:t>(липень-серпень 2027)</w:t>
            </w:r>
          </w:p>
          <w:p w14:paraId="5C5B46C1" w14:textId="77777777" w:rsidR="00A03215" w:rsidRPr="00210A99" w:rsidRDefault="00A03215" w:rsidP="001C7CAD">
            <w:pPr>
              <w:tabs>
                <w:tab w:val="left" w:pos="781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5A5E66" w14:textId="59B24466" w:rsidR="00A03215" w:rsidRDefault="00A03215"/>
    <w:p w14:paraId="26F6E069" w14:textId="680BF070" w:rsidR="00A03215" w:rsidRDefault="00A03215"/>
    <w:p w14:paraId="2D13DFCA" w14:textId="6E7D1FD2" w:rsidR="00A03215" w:rsidRDefault="00A03215"/>
    <w:p w14:paraId="513ABA84" w14:textId="55124447" w:rsidR="00A03215" w:rsidRDefault="00A03215"/>
    <w:p w14:paraId="0020599D" w14:textId="77777777" w:rsidR="00A03215" w:rsidRDefault="00A03215">
      <w:pPr>
        <w:rPr>
          <w:sz w:val="24"/>
          <w:szCs w:val="24"/>
          <w:lang w:val="uk-UA" w:eastAsia="ru-RU"/>
        </w:rPr>
      </w:pPr>
    </w:p>
    <w:p w14:paraId="36FB290D" w14:textId="77777777" w:rsidR="00A03215" w:rsidRDefault="00A03215">
      <w:pPr>
        <w:rPr>
          <w:sz w:val="24"/>
          <w:szCs w:val="24"/>
          <w:lang w:val="uk-UA" w:eastAsia="ru-RU"/>
        </w:rPr>
      </w:pPr>
    </w:p>
    <w:p w14:paraId="52C3E1A7" w14:textId="77777777" w:rsidR="00A03215" w:rsidRDefault="00A03215">
      <w:pPr>
        <w:rPr>
          <w:sz w:val="24"/>
          <w:szCs w:val="24"/>
          <w:lang w:val="uk-UA" w:eastAsia="ru-RU"/>
        </w:rPr>
      </w:pPr>
    </w:p>
    <w:p w14:paraId="38D227F8" w14:textId="04871CC9" w:rsidR="00A03215" w:rsidRDefault="00A03215"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</w:p>
    <w:sectPr w:rsidR="00A0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32903"/>
    <w:rsid w:val="00142E97"/>
    <w:rsid w:val="0040016F"/>
    <w:rsid w:val="007F4171"/>
    <w:rsid w:val="00A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E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03215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2023-05-02T07:38:00Z</dcterms:created>
  <dcterms:modified xsi:type="dcterms:W3CDTF">2023-05-02T07:42:00Z</dcterms:modified>
</cp:coreProperties>
</file>