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7A1B1" w14:textId="77777777" w:rsidR="00D07030" w:rsidRPr="00143D5A" w:rsidRDefault="00D07030" w:rsidP="00D07030">
      <w:pPr>
        <w:pStyle w:val="a9"/>
        <w:jc w:val="right"/>
        <w:rPr>
          <w:rFonts w:cs="Times New Roman"/>
          <w:sz w:val="26"/>
          <w:szCs w:val="26"/>
          <w:lang w:val="uk-UA"/>
        </w:rPr>
      </w:pPr>
    </w:p>
    <w:p w14:paraId="3372E442" w14:textId="77777777" w:rsidR="00D07030" w:rsidRPr="00143D5A" w:rsidRDefault="00D07030" w:rsidP="00D07030">
      <w:pPr>
        <w:pStyle w:val="a9"/>
        <w:jc w:val="center"/>
        <w:rPr>
          <w:rFonts w:ascii="Segoe UI" w:hAnsi="Segoe UI" w:cs="Segoe UI"/>
          <w:sz w:val="26"/>
          <w:szCs w:val="26"/>
          <w:lang w:val="uk-UA"/>
        </w:rPr>
      </w:pPr>
      <w:r w:rsidRPr="00143D5A">
        <w:rPr>
          <w:noProof/>
          <w:sz w:val="26"/>
          <w:szCs w:val="26"/>
          <w:lang w:eastAsia="ru-RU"/>
        </w:rPr>
        <w:drawing>
          <wp:inline distT="0" distB="0" distL="0" distR="0" wp14:anchorId="2FC5F26F" wp14:editId="57F250F5">
            <wp:extent cx="695325" cy="923925"/>
            <wp:effectExtent l="0" t="0" r="9525" b="9525"/>
            <wp:docPr id="1" name="Рисунок 1" descr="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Тризу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923925"/>
                    </a:xfrm>
                    <a:prstGeom prst="rect">
                      <a:avLst/>
                    </a:prstGeom>
                    <a:noFill/>
                    <a:ln>
                      <a:noFill/>
                    </a:ln>
                  </pic:spPr>
                </pic:pic>
              </a:graphicData>
            </a:graphic>
          </wp:inline>
        </w:drawing>
      </w:r>
    </w:p>
    <w:p w14:paraId="59AB9376" w14:textId="77777777" w:rsidR="00D07030" w:rsidRPr="00143D5A" w:rsidRDefault="00671BC8" w:rsidP="00671BC8">
      <w:pPr>
        <w:pStyle w:val="a9"/>
        <w:tabs>
          <w:tab w:val="left" w:pos="3965"/>
        </w:tabs>
        <w:rPr>
          <w:sz w:val="26"/>
          <w:szCs w:val="26"/>
          <w:lang w:val="uk-UA"/>
        </w:rPr>
      </w:pPr>
      <w:r w:rsidRPr="00143D5A">
        <w:rPr>
          <w:sz w:val="26"/>
          <w:szCs w:val="26"/>
          <w:lang w:val="uk-UA"/>
        </w:rPr>
        <w:tab/>
      </w:r>
    </w:p>
    <w:bookmarkStart w:id="0" w:name="_Toc532297602"/>
    <w:p w14:paraId="26450DC1" w14:textId="5F282A7D" w:rsidR="00671BC8" w:rsidRPr="00143D5A" w:rsidRDefault="00E957CE" w:rsidP="00671BC8">
      <w:pPr>
        <w:pStyle w:val="a9"/>
        <w:jc w:val="center"/>
        <w:rPr>
          <w:sz w:val="26"/>
          <w:szCs w:val="26"/>
          <w:lang w:val="uk-UA"/>
        </w:rPr>
      </w:pPr>
      <w:r>
        <w:rPr>
          <w:noProof/>
          <w:sz w:val="26"/>
          <w:szCs w:val="26"/>
          <w:lang w:val="uk-UA" w:eastAsia="ru-RU"/>
        </w:rPr>
        <mc:AlternateContent>
          <mc:Choice Requires="wps">
            <w:drawing>
              <wp:anchor distT="0" distB="0" distL="114300" distR="114300" simplePos="0" relativeHeight="251661312" behindDoc="0" locked="0" layoutInCell="1" allowOverlap="1" wp14:anchorId="0618AF88" wp14:editId="3B163CD2">
                <wp:simplePos x="0" y="0"/>
                <wp:positionH relativeFrom="column">
                  <wp:posOffset>5113020</wp:posOffset>
                </wp:positionH>
                <wp:positionV relativeFrom="paragraph">
                  <wp:posOffset>-309245</wp:posOffset>
                </wp:positionV>
                <wp:extent cx="695960" cy="397510"/>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2B6CA" w14:textId="77777777" w:rsidR="009B30DA" w:rsidRDefault="009B30DA" w:rsidP="00671BC8"/>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618AF88" id="_x0000_t202" coordsize="21600,21600" o:spt="202" path="m,l,21600r21600,l21600,xe">
                <v:stroke joinstyle="miter"/>
                <v:path gradientshapeok="t" o:connecttype="rect"/>
              </v:shapetype>
              <v:shape id="Text Box 3" o:spid="_x0000_s1026" type="#_x0000_t202" style="position:absolute;left:0;text-align:left;margin-left:402.6pt;margin-top:-24.35pt;width:54.8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" stroked="f">
                <v:textbox style="mso-fit-shape-to-text:t">
                  <w:txbxContent>
                    <w:p w14:paraId="7C12B6CA" w14:textId="77777777" w:rsidR="009B30DA" w:rsidRDefault="009B30DA" w:rsidP="00671BC8"/>
                  </w:txbxContent>
                </v:textbox>
              </v:shape>
            </w:pict>
          </mc:Fallback>
        </mc:AlternateContent>
      </w:r>
      <w:r w:rsidR="00671BC8" w:rsidRPr="00143D5A">
        <w:rPr>
          <w:sz w:val="26"/>
          <w:szCs w:val="26"/>
          <w:lang w:val="uk-UA"/>
        </w:rPr>
        <w:t>Місцеве самоврядування</w:t>
      </w:r>
    </w:p>
    <w:p w14:paraId="422D7091" w14:textId="77777777" w:rsidR="00671BC8" w:rsidRPr="00143D5A" w:rsidRDefault="00671BC8" w:rsidP="00671BC8">
      <w:pPr>
        <w:pStyle w:val="a9"/>
        <w:jc w:val="center"/>
        <w:rPr>
          <w:b/>
          <w:sz w:val="26"/>
          <w:szCs w:val="26"/>
          <w:lang w:val="uk-UA"/>
        </w:rPr>
      </w:pPr>
      <w:r w:rsidRPr="00143D5A">
        <w:rPr>
          <w:b/>
          <w:sz w:val="26"/>
          <w:szCs w:val="26"/>
          <w:lang w:val="uk-UA"/>
        </w:rPr>
        <w:t>Сурсько – Литовська сільська рада</w:t>
      </w:r>
    </w:p>
    <w:p w14:paraId="64444124" w14:textId="77777777" w:rsidR="00671BC8" w:rsidRPr="00143D5A" w:rsidRDefault="00671BC8" w:rsidP="00671BC8">
      <w:pPr>
        <w:pStyle w:val="a9"/>
        <w:jc w:val="center"/>
        <w:rPr>
          <w:sz w:val="26"/>
          <w:szCs w:val="26"/>
          <w:lang w:val="uk-UA"/>
        </w:rPr>
      </w:pPr>
      <w:r w:rsidRPr="00143D5A">
        <w:rPr>
          <w:sz w:val="26"/>
          <w:szCs w:val="26"/>
          <w:lang w:val="uk-UA"/>
        </w:rPr>
        <w:t>Дніпровського району Дніпропетровської області</w:t>
      </w:r>
    </w:p>
    <w:p w14:paraId="2983F372" w14:textId="128C2AC0" w:rsidR="00671BC8" w:rsidRPr="00143D5A" w:rsidRDefault="00777AED" w:rsidP="00671BC8">
      <w:pPr>
        <w:pStyle w:val="a9"/>
        <w:jc w:val="center"/>
        <w:rPr>
          <w:color w:val="000000"/>
          <w:sz w:val="26"/>
          <w:szCs w:val="26"/>
          <w:lang w:val="uk-UA"/>
        </w:rPr>
      </w:pPr>
      <w:r>
        <w:rPr>
          <w:color w:val="000000"/>
          <w:sz w:val="26"/>
          <w:szCs w:val="26"/>
          <w:lang w:val="uk-UA"/>
        </w:rPr>
        <w:t xml:space="preserve">ВІСІМНАДЦЯТА </w:t>
      </w:r>
      <w:r w:rsidR="00671BC8" w:rsidRPr="00143D5A">
        <w:rPr>
          <w:color w:val="000000"/>
          <w:sz w:val="26"/>
          <w:szCs w:val="26"/>
          <w:lang w:val="uk-UA"/>
        </w:rPr>
        <w:t xml:space="preserve">  СЕСІЯ</w:t>
      </w:r>
    </w:p>
    <w:p w14:paraId="461F2F6F" w14:textId="77777777" w:rsidR="00671BC8" w:rsidRPr="00143D5A" w:rsidRDefault="00671BC8" w:rsidP="00671BC8">
      <w:pPr>
        <w:pStyle w:val="a9"/>
        <w:jc w:val="center"/>
        <w:rPr>
          <w:color w:val="FF0000"/>
          <w:sz w:val="26"/>
          <w:szCs w:val="26"/>
          <w:lang w:val="uk-UA"/>
        </w:rPr>
      </w:pPr>
      <w:r w:rsidRPr="00143D5A">
        <w:rPr>
          <w:sz w:val="26"/>
          <w:szCs w:val="26"/>
          <w:lang w:val="uk-UA"/>
        </w:rPr>
        <w:t>ВОСЬМЕ СКЛИКАННЯ</w:t>
      </w:r>
    </w:p>
    <w:p w14:paraId="356B990E" w14:textId="77777777" w:rsidR="00D07030" w:rsidRPr="00143D5A" w:rsidRDefault="00D07030" w:rsidP="00D07030">
      <w:pPr>
        <w:pStyle w:val="a9"/>
        <w:jc w:val="center"/>
        <w:rPr>
          <w:b/>
          <w:bCs/>
          <w:sz w:val="26"/>
          <w:szCs w:val="26"/>
          <w:lang w:val="uk-UA"/>
        </w:rPr>
      </w:pPr>
    </w:p>
    <w:p w14:paraId="7BDB7EDB" w14:textId="77777777" w:rsidR="00D07030" w:rsidRPr="00143D5A" w:rsidRDefault="00D07030" w:rsidP="00D07030">
      <w:pPr>
        <w:pStyle w:val="a9"/>
        <w:jc w:val="center"/>
        <w:rPr>
          <w:sz w:val="26"/>
          <w:szCs w:val="26"/>
          <w:lang w:val="uk-UA"/>
        </w:rPr>
      </w:pPr>
      <w:r w:rsidRPr="00143D5A">
        <w:rPr>
          <w:sz w:val="26"/>
          <w:szCs w:val="26"/>
          <w:lang w:val="uk-UA"/>
        </w:rPr>
        <w:t>Р І Ш Е Н Н Я</w:t>
      </w:r>
      <w:bookmarkEnd w:id="0"/>
    </w:p>
    <w:p w14:paraId="2E9E906B" w14:textId="77777777" w:rsidR="00D07030" w:rsidRPr="00143D5A" w:rsidRDefault="00D07030" w:rsidP="00D07030">
      <w:pPr>
        <w:pStyle w:val="a9"/>
        <w:jc w:val="both"/>
        <w:rPr>
          <w:rFonts w:ascii="Segoe UI" w:hAnsi="Segoe UI" w:cs="Segoe UI"/>
          <w:i/>
          <w:sz w:val="26"/>
          <w:szCs w:val="26"/>
          <w:lang w:val="uk-UA"/>
        </w:rPr>
      </w:pPr>
    </w:p>
    <w:p w14:paraId="14173243" w14:textId="77777777" w:rsidR="00D07030" w:rsidRPr="00143D5A" w:rsidRDefault="00D07030" w:rsidP="00D07030">
      <w:pPr>
        <w:pStyle w:val="a9"/>
        <w:jc w:val="both"/>
        <w:rPr>
          <w:b/>
          <w:i/>
          <w:sz w:val="26"/>
          <w:szCs w:val="26"/>
          <w:lang w:val="uk-UA"/>
        </w:rPr>
      </w:pPr>
      <w:r w:rsidRPr="00143D5A">
        <w:rPr>
          <w:b/>
          <w:i/>
          <w:sz w:val="26"/>
          <w:szCs w:val="26"/>
          <w:lang w:val="uk-UA"/>
        </w:rPr>
        <w:t xml:space="preserve">Про затвердження Положення про </w:t>
      </w:r>
    </w:p>
    <w:p w14:paraId="58F00290" w14:textId="77777777" w:rsidR="00D61AF3" w:rsidRDefault="00D07030" w:rsidP="00D07030">
      <w:pPr>
        <w:pStyle w:val="a9"/>
        <w:jc w:val="both"/>
        <w:rPr>
          <w:b/>
          <w:i/>
          <w:sz w:val="26"/>
          <w:szCs w:val="26"/>
          <w:lang w:val="uk-UA"/>
        </w:rPr>
      </w:pPr>
      <w:r w:rsidRPr="00143D5A">
        <w:rPr>
          <w:b/>
          <w:i/>
          <w:sz w:val="26"/>
          <w:szCs w:val="26"/>
          <w:lang w:val="uk-UA"/>
        </w:rPr>
        <w:t xml:space="preserve">облікову політику </w:t>
      </w:r>
      <w:r w:rsidR="00671BC8" w:rsidRPr="00143D5A">
        <w:rPr>
          <w:b/>
          <w:i/>
          <w:sz w:val="26"/>
          <w:szCs w:val="26"/>
          <w:lang w:val="uk-UA"/>
        </w:rPr>
        <w:t xml:space="preserve">Сурсько-Литовської </w:t>
      </w:r>
    </w:p>
    <w:p w14:paraId="0A9F406F" w14:textId="7EC2E1AC" w:rsidR="00671BC8" w:rsidRPr="00143D5A" w:rsidRDefault="00671BC8" w:rsidP="00D07030">
      <w:pPr>
        <w:pStyle w:val="a9"/>
        <w:jc w:val="both"/>
        <w:rPr>
          <w:b/>
          <w:i/>
          <w:sz w:val="26"/>
          <w:szCs w:val="26"/>
          <w:lang w:val="uk-UA"/>
        </w:rPr>
      </w:pPr>
      <w:r w:rsidRPr="00143D5A">
        <w:rPr>
          <w:b/>
          <w:i/>
          <w:sz w:val="26"/>
          <w:szCs w:val="26"/>
          <w:lang w:val="uk-UA"/>
        </w:rPr>
        <w:t>сільської ради</w:t>
      </w:r>
      <w:r w:rsidR="00F52EB1">
        <w:rPr>
          <w:b/>
          <w:i/>
          <w:sz w:val="26"/>
          <w:szCs w:val="26"/>
          <w:lang w:val="uk-UA"/>
        </w:rPr>
        <w:t xml:space="preserve"> на 2023 рік</w:t>
      </w:r>
    </w:p>
    <w:p w14:paraId="1A7787F1" w14:textId="77777777" w:rsidR="00D07030" w:rsidRPr="00143D5A" w:rsidRDefault="00D07030" w:rsidP="00D07030">
      <w:pPr>
        <w:pStyle w:val="a9"/>
        <w:jc w:val="both"/>
        <w:rPr>
          <w:sz w:val="26"/>
          <w:szCs w:val="26"/>
          <w:lang w:val="uk-UA"/>
        </w:rPr>
      </w:pPr>
    </w:p>
    <w:p w14:paraId="76A6E311" w14:textId="77777777" w:rsidR="00D07030" w:rsidRPr="00143D5A" w:rsidRDefault="00D07030" w:rsidP="00D07030">
      <w:pPr>
        <w:pStyle w:val="a9"/>
        <w:jc w:val="both"/>
        <w:rPr>
          <w:b/>
          <w:sz w:val="26"/>
          <w:szCs w:val="26"/>
          <w:lang w:val="uk-UA"/>
        </w:rPr>
      </w:pPr>
      <w:r w:rsidRPr="00143D5A">
        <w:rPr>
          <w:sz w:val="26"/>
          <w:szCs w:val="26"/>
          <w:lang w:val="uk-UA"/>
        </w:rPr>
        <w:t xml:space="preserve">                Відповідно до </w:t>
      </w:r>
      <w:r w:rsidRPr="00143D5A">
        <w:rPr>
          <w:rFonts w:eastAsia="Times New Roman" w:cs="Times New Roman"/>
          <w:sz w:val="26"/>
          <w:szCs w:val="26"/>
          <w:lang w:val="uk-UA" w:eastAsia="ru-RU"/>
        </w:rPr>
        <w:t>Бюджетного кодексу України, Податкового кодексу України, Закону про Державний бюджет України на відповідний рік, Закону України «Про бухгалтерський облік та фінансову  звітність в Україні» від 16.07.1999 року № 996-ХІV(із змінами  та доповненнями)</w:t>
      </w:r>
      <w:r w:rsidR="00671BC8" w:rsidRPr="00143D5A">
        <w:rPr>
          <w:rFonts w:eastAsia="Times New Roman" w:cs="Times New Roman"/>
          <w:sz w:val="26"/>
          <w:szCs w:val="26"/>
          <w:lang w:val="uk-UA" w:eastAsia="ru-RU"/>
        </w:rPr>
        <w:t xml:space="preserve"> </w:t>
      </w:r>
      <w:r w:rsidRPr="00143D5A">
        <w:rPr>
          <w:sz w:val="26"/>
          <w:szCs w:val="26"/>
          <w:lang w:val="uk-UA"/>
        </w:rPr>
        <w:t>Закону України «Про місцеве самоврядування в Україні», та з метою оптимізації та вдосконалення роботи виконавчого органу сільської ради, структурування</w:t>
      </w:r>
      <w:r w:rsidR="00D41911" w:rsidRPr="00143D5A">
        <w:rPr>
          <w:sz w:val="26"/>
          <w:szCs w:val="26"/>
          <w:lang w:val="uk-UA"/>
        </w:rPr>
        <w:t xml:space="preserve"> </w:t>
      </w:r>
      <w:r w:rsidRPr="00143D5A">
        <w:rPr>
          <w:sz w:val="26"/>
          <w:szCs w:val="26"/>
          <w:lang w:val="uk-UA"/>
        </w:rPr>
        <w:t>функціональних</w:t>
      </w:r>
      <w:r w:rsidR="00D41911" w:rsidRPr="00143D5A">
        <w:rPr>
          <w:sz w:val="26"/>
          <w:szCs w:val="26"/>
          <w:lang w:val="uk-UA"/>
        </w:rPr>
        <w:t xml:space="preserve"> </w:t>
      </w:r>
      <w:r w:rsidRPr="00143D5A">
        <w:rPr>
          <w:sz w:val="26"/>
          <w:szCs w:val="26"/>
          <w:lang w:val="uk-UA"/>
        </w:rPr>
        <w:t xml:space="preserve">напрямків діяльності, забезпечення ефективності роботи, </w:t>
      </w:r>
      <w:r w:rsidR="00671BC8" w:rsidRPr="00143D5A">
        <w:rPr>
          <w:sz w:val="26"/>
          <w:szCs w:val="26"/>
          <w:lang w:val="uk-UA"/>
        </w:rPr>
        <w:t>Сурсько</w:t>
      </w:r>
      <w:r w:rsidR="00143D5A">
        <w:rPr>
          <w:sz w:val="26"/>
          <w:szCs w:val="26"/>
          <w:lang w:val="uk-UA"/>
        </w:rPr>
        <w:t xml:space="preserve"> </w:t>
      </w:r>
      <w:r w:rsidR="00671BC8" w:rsidRPr="00143D5A">
        <w:rPr>
          <w:sz w:val="26"/>
          <w:szCs w:val="26"/>
          <w:lang w:val="uk-UA"/>
        </w:rPr>
        <w:t>-</w:t>
      </w:r>
      <w:r w:rsidR="00143D5A">
        <w:rPr>
          <w:sz w:val="26"/>
          <w:szCs w:val="26"/>
          <w:lang w:val="uk-UA"/>
        </w:rPr>
        <w:t xml:space="preserve"> </w:t>
      </w:r>
      <w:r w:rsidR="00671BC8" w:rsidRPr="00143D5A">
        <w:rPr>
          <w:sz w:val="26"/>
          <w:szCs w:val="26"/>
          <w:lang w:val="uk-UA"/>
        </w:rPr>
        <w:t>Литовська</w:t>
      </w:r>
      <w:r w:rsidRPr="00143D5A">
        <w:rPr>
          <w:sz w:val="26"/>
          <w:szCs w:val="26"/>
          <w:lang w:val="uk-UA"/>
        </w:rPr>
        <w:t xml:space="preserve"> сільська рада</w:t>
      </w:r>
    </w:p>
    <w:p w14:paraId="7B61FE0E" w14:textId="77777777" w:rsidR="00D07030" w:rsidRPr="00143D5A" w:rsidRDefault="00D07030" w:rsidP="00D07030">
      <w:pPr>
        <w:pStyle w:val="a9"/>
        <w:jc w:val="both"/>
        <w:rPr>
          <w:sz w:val="26"/>
          <w:szCs w:val="26"/>
          <w:lang w:val="uk-UA"/>
        </w:rPr>
      </w:pPr>
    </w:p>
    <w:p w14:paraId="795C5B17" w14:textId="77777777" w:rsidR="00D07030" w:rsidRPr="00143D5A" w:rsidRDefault="00D07030" w:rsidP="00D07030">
      <w:pPr>
        <w:pStyle w:val="a9"/>
        <w:jc w:val="center"/>
        <w:rPr>
          <w:b/>
          <w:sz w:val="26"/>
          <w:szCs w:val="26"/>
          <w:lang w:val="uk-UA"/>
        </w:rPr>
      </w:pPr>
      <w:r w:rsidRPr="00143D5A">
        <w:rPr>
          <w:b/>
          <w:sz w:val="26"/>
          <w:szCs w:val="26"/>
          <w:lang w:val="uk-UA"/>
        </w:rPr>
        <w:t>ВИРІШИЛА:</w:t>
      </w:r>
    </w:p>
    <w:p w14:paraId="671F72DF" w14:textId="77777777" w:rsidR="00D41911" w:rsidRPr="00143D5A" w:rsidRDefault="00D41911" w:rsidP="00D07030">
      <w:pPr>
        <w:pStyle w:val="a9"/>
        <w:jc w:val="center"/>
        <w:rPr>
          <w:sz w:val="26"/>
          <w:szCs w:val="26"/>
          <w:lang w:val="uk-UA"/>
        </w:rPr>
      </w:pPr>
    </w:p>
    <w:p w14:paraId="3C86B60B" w14:textId="043617E8" w:rsidR="00D07030" w:rsidRPr="00143D5A" w:rsidRDefault="00D07030" w:rsidP="00D07030">
      <w:pPr>
        <w:pStyle w:val="a9"/>
        <w:ind w:firstLine="708"/>
        <w:jc w:val="both"/>
        <w:rPr>
          <w:sz w:val="26"/>
          <w:szCs w:val="26"/>
          <w:shd w:val="clear" w:color="auto" w:fill="FFFFFF"/>
          <w:lang w:val="uk-UA"/>
        </w:rPr>
      </w:pPr>
      <w:r w:rsidRPr="00143D5A">
        <w:rPr>
          <w:color w:val="000000"/>
          <w:sz w:val="26"/>
          <w:szCs w:val="26"/>
          <w:shd w:val="clear" w:color="auto" w:fill="FFFFFF"/>
          <w:lang w:val="uk-UA"/>
        </w:rPr>
        <w:t xml:space="preserve">1. Затвердити   Положення  про </w:t>
      </w:r>
      <w:r w:rsidRPr="00143D5A">
        <w:rPr>
          <w:sz w:val="26"/>
          <w:szCs w:val="26"/>
          <w:shd w:val="clear" w:color="auto" w:fill="FFFFFF"/>
          <w:lang w:val="uk-UA"/>
        </w:rPr>
        <w:t xml:space="preserve">облікову політику </w:t>
      </w:r>
      <w:r w:rsidR="00671BC8" w:rsidRPr="00143D5A">
        <w:rPr>
          <w:sz w:val="26"/>
          <w:szCs w:val="26"/>
          <w:shd w:val="clear" w:color="auto" w:fill="FFFFFF"/>
          <w:lang w:val="uk-UA"/>
        </w:rPr>
        <w:t xml:space="preserve">Сурсько-Литовської </w:t>
      </w:r>
      <w:r w:rsidRPr="00143D5A">
        <w:rPr>
          <w:sz w:val="26"/>
          <w:szCs w:val="26"/>
          <w:shd w:val="clear" w:color="auto" w:fill="FFFFFF"/>
          <w:lang w:val="uk-UA"/>
        </w:rPr>
        <w:t xml:space="preserve">сільської ради </w:t>
      </w:r>
      <w:r w:rsidR="00777AED">
        <w:rPr>
          <w:sz w:val="26"/>
          <w:szCs w:val="26"/>
          <w:shd w:val="clear" w:color="auto" w:fill="FFFFFF"/>
          <w:lang w:val="uk-UA"/>
        </w:rPr>
        <w:t xml:space="preserve"> </w:t>
      </w:r>
      <w:r w:rsidRPr="00143D5A">
        <w:rPr>
          <w:sz w:val="26"/>
          <w:szCs w:val="26"/>
          <w:shd w:val="clear" w:color="auto" w:fill="FFFFFF"/>
          <w:lang w:val="uk-UA"/>
        </w:rPr>
        <w:t>згідно додатку 1</w:t>
      </w:r>
      <w:r w:rsidR="00671BC8" w:rsidRPr="00143D5A">
        <w:rPr>
          <w:sz w:val="26"/>
          <w:szCs w:val="26"/>
          <w:shd w:val="clear" w:color="auto" w:fill="FFFFFF"/>
          <w:lang w:val="uk-UA"/>
        </w:rPr>
        <w:t>.</w:t>
      </w:r>
    </w:p>
    <w:p w14:paraId="1702A674" w14:textId="77777777" w:rsidR="00D41911" w:rsidRPr="00143D5A" w:rsidRDefault="00D07030" w:rsidP="00D07030">
      <w:pPr>
        <w:pStyle w:val="a9"/>
        <w:ind w:firstLine="708"/>
        <w:jc w:val="both"/>
        <w:rPr>
          <w:bCs/>
          <w:sz w:val="26"/>
          <w:szCs w:val="26"/>
          <w:lang w:val="uk-UA"/>
        </w:rPr>
      </w:pPr>
      <w:r w:rsidRPr="00143D5A">
        <w:rPr>
          <w:color w:val="000000"/>
          <w:sz w:val="26"/>
          <w:szCs w:val="26"/>
          <w:lang w:val="uk-UA"/>
        </w:rPr>
        <w:t xml:space="preserve">2. Контроль за виконанням даного рішення покласти на </w:t>
      </w:r>
      <w:r w:rsidR="00671BC8" w:rsidRPr="00143D5A">
        <w:rPr>
          <w:rFonts w:eastAsia="Calibri" w:cs="Times New Roman"/>
          <w:bCs/>
          <w:sz w:val="26"/>
          <w:szCs w:val="26"/>
          <w:lang w:val="uk-UA"/>
        </w:rPr>
        <w:t>постійну комісію Сурсько-Литовської сільської ради</w:t>
      </w:r>
      <w:r w:rsidR="00671BC8" w:rsidRPr="00143D5A">
        <w:rPr>
          <w:rFonts w:eastAsia="Calibri" w:cs="Times New Roman"/>
          <w:sz w:val="26"/>
          <w:szCs w:val="26"/>
          <w:lang w:val="uk-UA"/>
        </w:rPr>
        <w:t xml:space="preserve"> з питань планування, фінансів, бюджету та соціально-економічного розвитку та інвестицій та міжнародного співробітництва</w:t>
      </w:r>
      <w:r w:rsidR="00671BC8" w:rsidRPr="00143D5A">
        <w:rPr>
          <w:rFonts w:eastAsia="Calibri" w:cs="Times New Roman"/>
          <w:bCs/>
          <w:sz w:val="26"/>
          <w:szCs w:val="26"/>
          <w:lang w:val="uk-UA"/>
        </w:rPr>
        <w:t>.</w:t>
      </w:r>
    </w:p>
    <w:p w14:paraId="5BB87D8A" w14:textId="77777777" w:rsidR="00671BC8" w:rsidRPr="00143D5A" w:rsidRDefault="00671BC8" w:rsidP="00D07030">
      <w:pPr>
        <w:pStyle w:val="a9"/>
        <w:ind w:firstLine="708"/>
        <w:jc w:val="both"/>
        <w:rPr>
          <w:bCs/>
          <w:sz w:val="26"/>
          <w:szCs w:val="26"/>
          <w:lang w:val="uk-UA"/>
        </w:rPr>
      </w:pPr>
    </w:p>
    <w:p w14:paraId="4FB50953" w14:textId="77777777" w:rsidR="00671BC8" w:rsidRPr="00143D5A" w:rsidRDefault="00671BC8" w:rsidP="00D07030">
      <w:pPr>
        <w:pStyle w:val="a9"/>
        <w:ind w:firstLine="708"/>
        <w:jc w:val="both"/>
        <w:rPr>
          <w:color w:val="000000"/>
          <w:sz w:val="26"/>
          <w:szCs w:val="26"/>
          <w:lang w:val="uk-UA"/>
        </w:rPr>
      </w:pPr>
    </w:p>
    <w:p w14:paraId="6F338818" w14:textId="77777777" w:rsidR="00D41911" w:rsidRPr="00143D5A" w:rsidRDefault="00D41911" w:rsidP="00D07030">
      <w:pPr>
        <w:pStyle w:val="a9"/>
        <w:ind w:firstLine="708"/>
        <w:jc w:val="both"/>
        <w:rPr>
          <w:color w:val="000000"/>
          <w:sz w:val="26"/>
          <w:szCs w:val="26"/>
          <w:lang w:val="uk-UA"/>
        </w:rPr>
      </w:pPr>
    </w:p>
    <w:p w14:paraId="26F903D8" w14:textId="77777777" w:rsidR="00671BC8" w:rsidRPr="00143D5A" w:rsidRDefault="00671BC8" w:rsidP="00671BC8">
      <w:pPr>
        <w:pStyle w:val="HTML"/>
        <w:spacing w:after="120"/>
        <w:jc w:val="both"/>
        <w:rPr>
          <w:rFonts w:ascii="Times New Roman" w:hAnsi="Times New Roman" w:cs="Times New Roman"/>
          <w:b/>
          <w:sz w:val="26"/>
          <w:szCs w:val="26"/>
          <w:lang w:val="uk-UA"/>
        </w:rPr>
      </w:pPr>
      <w:r w:rsidRPr="00143D5A">
        <w:rPr>
          <w:rFonts w:ascii="Times New Roman" w:hAnsi="Times New Roman" w:cs="Times New Roman"/>
          <w:b/>
          <w:sz w:val="26"/>
          <w:szCs w:val="26"/>
          <w:lang w:val="uk-UA"/>
        </w:rPr>
        <w:t>Сільський голова                                                   Григорій АНДРЄЄВ</w:t>
      </w:r>
    </w:p>
    <w:p w14:paraId="3A154A83" w14:textId="77777777" w:rsidR="00671BC8" w:rsidRPr="00143D5A" w:rsidRDefault="00671BC8" w:rsidP="00671BC8">
      <w:pPr>
        <w:pStyle w:val="HTML"/>
        <w:spacing w:after="120"/>
        <w:jc w:val="both"/>
        <w:rPr>
          <w:rFonts w:ascii="Times New Roman" w:hAnsi="Times New Roman" w:cs="Times New Roman"/>
          <w:b/>
          <w:sz w:val="26"/>
          <w:szCs w:val="26"/>
          <w:lang w:val="uk-UA"/>
        </w:rPr>
      </w:pPr>
    </w:p>
    <w:p w14:paraId="5DD863A5" w14:textId="77777777" w:rsidR="00671BC8" w:rsidRPr="00143D5A" w:rsidRDefault="00671BC8" w:rsidP="00671BC8">
      <w:pPr>
        <w:pStyle w:val="a9"/>
        <w:rPr>
          <w:rFonts w:eastAsia="Calibri" w:cs="Times New Roman"/>
          <w:sz w:val="26"/>
          <w:szCs w:val="26"/>
          <w:lang w:val="uk-UA" w:eastAsia="uk-UA"/>
        </w:rPr>
      </w:pPr>
      <w:r w:rsidRPr="00143D5A">
        <w:rPr>
          <w:rFonts w:eastAsia="Calibri" w:cs="Times New Roman"/>
          <w:sz w:val="26"/>
          <w:szCs w:val="26"/>
          <w:lang w:val="uk-UA" w:eastAsia="uk-UA"/>
        </w:rPr>
        <w:t>с. Сурсько - Литовське</w:t>
      </w:r>
    </w:p>
    <w:p w14:paraId="5173ABE6" w14:textId="3E0C5A48" w:rsidR="00671BC8" w:rsidRPr="00143D5A" w:rsidRDefault="00777AED" w:rsidP="00671BC8">
      <w:pPr>
        <w:pStyle w:val="a9"/>
        <w:rPr>
          <w:rFonts w:eastAsia="Calibri" w:cs="Times New Roman"/>
          <w:sz w:val="26"/>
          <w:szCs w:val="26"/>
          <w:lang w:val="uk-UA" w:eastAsia="uk-UA"/>
        </w:rPr>
      </w:pPr>
      <w:r>
        <w:rPr>
          <w:rFonts w:eastAsia="Calibri" w:cs="Times New Roman"/>
          <w:sz w:val="26"/>
          <w:szCs w:val="26"/>
          <w:lang w:val="uk-UA" w:eastAsia="uk-UA"/>
        </w:rPr>
        <w:t>1</w:t>
      </w:r>
      <w:r w:rsidR="0039491A">
        <w:rPr>
          <w:rFonts w:eastAsia="Calibri" w:cs="Times New Roman"/>
          <w:sz w:val="26"/>
          <w:szCs w:val="26"/>
          <w:lang w:val="uk-UA" w:eastAsia="uk-UA"/>
        </w:rPr>
        <w:t>6</w:t>
      </w:r>
      <w:r w:rsidR="00671BC8" w:rsidRPr="00143D5A">
        <w:rPr>
          <w:rFonts w:eastAsia="Calibri" w:cs="Times New Roman"/>
          <w:sz w:val="26"/>
          <w:szCs w:val="26"/>
          <w:lang w:val="uk-UA" w:eastAsia="uk-UA"/>
        </w:rPr>
        <w:t>.12.202</w:t>
      </w:r>
      <w:r>
        <w:rPr>
          <w:rFonts w:eastAsia="Calibri" w:cs="Times New Roman"/>
          <w:sz w:val="26"/>
          <w:szCs w:val="26"/>
          <w:lang w:val="uk-UA" w:eastAsia="uk-UA"/>
        </w:rPr>
        <w:t>2</w:t>
      </w:r>
      <w:r w:rsidR="00671BC8" w:rsidRPr="00143D5A">
        <w:rPr>
          <w:rFonts w:eastAsia="Calibri" w:cs="Times New Roman"/>
          <w:sz w:val="26"/>
          <w:szCs w:val="26"/>
          <w:lang w:val="uk-UA" w:eastAsia="uk-UA"/>
        </w:rPr>
        <w:t>р.</w:t>
      </w:r>
    </w:p>
    <w:p w14:paraId="5D96732A" w14:textId="7E9B1550" w:rsidR="00671BC8" w:rsidRPr="00143D5A" w:rsidRDefault="00671BC8" w:rsidP="00671BC8">
      <w:pPr>
        <w:pStyle w:val="a9"/>
        <w:rPr>
          <w:rFonts w:eastAsia="Calibri" w:cs="Times New Roman"/>
          <w:sz w:val="26"/>
          <w:szCs w:val="26"/>
          <w:lang w:val="uk-UA" w:eastAsia="uk-UA"/>
        </w:rPr>
      </w:pPr>
      <w:r w:rsidRPr="00143D5A">
        <w:rPr>
          <w:rFonts w:eastAsia="Calibri" w:cs="Times New Roman"/>
          <w:sz w:val="26"/>
          <w:szCs w:val="26"/>
          <w:lang w:val="uk-UA" w:eastAsia="uk-UA"/>
        </w:rPr>
        <w:t xml:space="preserve">№ </w:t>
      </w:r>
      <w:r w:rsidR="00CA54B0">
        <w:rPr>
          <w:rFonts w:eastAsia="Calibri" w:cs="Times New Roman"/>
          <w:sz w:val="26"/>
          <w:szCs w:val="26"/>
          <w:lang w:val="uk-UA" w:eastAsia="uk-UA"/>
        </w:rPr>
        <w:t>1017</w:t>
      </w:r>
      <w:r w:rsidRPr="00143D5A">
        <w:rPr>
          <w:rFonts w:eastAsia="Calibri" w:cs="Times New Roman"/>
          <w:sz w:val="26"/>
          <w:szCs w:val="26"/>
          <w:lang w:val="uk-UA" w:eastAsia="uk-UA"/>
        </w:rPr>
        <w:t>-1</w:t>
      </w:r>
      <w:r w:rsidR="00777AED">
        <w:rPr>
          <w:rFonts w:eastAsia="Calibri" w:cs="Times New Roman"/>
          <w:sz w:val="26"/>
          <w:szCs w:val="26"/>
          <w:lang w:val="uk-UA" w:eastAsia="uk-UA"/>
        </w:rPr>
        <w:t>8</w:t>
      </w:r>
      <w:r w:rsidRPr="00143D5A">
        <w:rPr>
          <w:rFonts w:eastAsia="Calibri" w:cs="Times New Roman"/>
          <w:sz w:val="26"/>
          <w:szCs w:val="26"/>
          <w:lang w:val="uk-UA" w:eastAsia="uk-UA"/>
        </w:rPr>
        <w:t>/VIІІ</w:t>
      </w:r>
    </w:p>
    <w:p w14:paraId="6FCCFF93" w14:textId="77777777" w:rsidR="00D41911" w:rsidRPr="00143D5A" w:rsidRDefault="00D41911" w:rsidP="00D07030">
      <w:pPr>
        <w:pStyle w:val="a9"/>
        <w:ind w:firstLine="708"/>
        <w:jc w:val="both"/>
        <w:rPr>
          <w:color w:val="000000"/>
          <w:sz w:val="26"/>
          <w:szCs w:val="26"/>
          <w:lang w:val="uk-UA"/>
        </w:rPr>
      </w:pPr>
    </w:p>
    <w:p w14:paraId="2675AB22" w14:textId="77777777" w:rsidR="00D41911" w:rsidRPr="00143D5A" w:rsidRDefault="00D41911" w:rsidP="00D07030">
      <w:pPr>
        <w:pStyle w:val="a9"/>
        <w:ind w:firstLine="708"/>
        <w:jc w:val="both"/>
        <w:rPr>
          <w:color w:val="000000"/>
          <w:sz w:val="26"/>
          <w:szCs w:val="26"/>
          <w:lang w:val="uk-UA"/>
        </w:rPr>
      </w:pPr>
    </w:p>
    <w:p w14:paraId="0B32ED3B" w14:textId="77777777" w:rsidR="00D41911" w:rsidRDefault="00D41911" w:rsidP="000C7BCE">
      <w:pPr>
        <w:shd w:val="clear" w:color="auto" w:fill="FFFFFF" w:themeFill="background1"/>
        <w:spacing w:after="0"/>
        <w:ind w:right="-285"/>
        <w:jc w:val="right"/>
        <w:rPr>
          <w:rFonts w:eastAsia="Times New Roman" w:cs="Times New Roman"/>
          <w:b/>
          <w:bCs/>
          <w:sz w:val="26"/>
          <w:szCs w:val="26"/>
          <w:lang w:val="uk-UA" w:eastAsia="ru-RU"/>
        </w:rPr>
      </w:pPr>
    </w:p>
    <w:p w14:paraId="3BC3948D" w14:textId="77777777"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14:paraId="5926ADD4" w14:textId="77777777"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14:paraId="3BE7783B" w14:textId="77777777"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14:paraId="39FC3D96" w14:textId="77777777"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14:paraId="1CD36847" w14:textId="77777777" w:rsidR="00143D5A" w:rsidRP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14:paraId="75543BE3" w14:textId="77777777" w:rsidR="00671BC8" w:rsidRPr="00143D5A" w:rsidRDefault="00671BC8" w:rsidP="000C7BCE">
      <w:pPr>
        <w:shd w:val="clear" w:color="auto" w:fill="FFFFFF" w:themeFill="background1"/>
        <w:spacing w:after="0"/>
        <w:ind w:right="-285"/>
        <w:jc w:val="right"/>
        <w:rPr>
          <w:rFonts w:eastAsia="Times New Roman" w:cs="Times New Roman"/>
          <w:b/>
          <w:bCs/>
          <w:sz w:val="26"/>
          <w:szCs w:val="26"/>
          <w:lang w:val="uk-UA" w:eastAsia="ru-RU"/>
        </w:rPr>
      </w:pPr>
    </w:p>
    <w:p w14:paraId="3B8A7A56" w14:textId="77777777" w:rsidR="00B8789C" w:rsidRPr="00143D5A" w:rsidRDefault="00B8789C"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lastRenderedPageBreak/>
        <w:t xml:space="preserve">Додаток 1 </w:t>
      </w:r>
    </w:p>
    <w:p w14:paraId="4A840D48" w14:textId="77777777" w:rsidR="00671BC8" w:rsidRPr="00143D5A" w:rsidRDefault="00D41911"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t xml:space="preserve">до рішення  </w:t>
      </w:r>
      <w:r w:rsidR="00B8789C" w:rsidRPr="00143D5A">
        <w:rPr>
          <w:rFonts w:eastAsia="Times New Roman" w:cs="Times New Roman"/>
          <w:bCs/>
          <w:i/>
          <w:sz w:val="26"/>
          <w:szCs w:val="26"/>
          <w:lang w:val="uk-UA" w:eastAsia="ru-RU"/>
        </w:rPr>
        <w:t xml:space="preserve"> сесії</w:t>
      </w:r>
      <w:r w:rsidR="00671BC8" w:rsidRPr="00143D5A">
        <w:rPr>
          <w:rFonts w:eastAsia="Times New Roman" w:cs="Times New Roman"/>
          <w:bCs/>
          <w:i/>
          <w:sz w:val="26"/>
          <w:szCs w:val="26"/>
          <w:lang w:val="uk-UA" w:eastAsia="ru-RU"/>
        </w:rPr>
        <w:t xml:space="preserve"> </w:t>
      </w:r>
    </w:p>
    <w:p w14:paraId="46FE6D68" w14:textId="77777777" w:rsidR="00B8789C" w:rsidRPr="00143D5A" w:rsidRDefault="00671BC8"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t>Сурсько-Литовської сільської ради</w:t>
      </w:r>
    </w:p>
    <w:p w14:paraId="29B7F7FD" w14:textId="6E400A6A" w:rsidR="00671BC8" w:rsidRPr="00143D5A" w:rsidRDefault="00671BC8" w:rsidP="00671BC8">
      <w:pPr>
        <w:pStyle w:val="a9"/>
        <w:jc w:val="right"/>
        <w:rPr>
          <w:rFonts w:eastAsia="Calibri" w:cs="Times New Roman"/>
          <w:i/>
          <w:sz w:val="26"/>
          <w:szCs w:val="26"/>
          <w:lang w:val="uk-UA" w:eastAsia="uk-UA"/>
        </w:rPr>
      </w:pPr>
      <w:r w:rsidRPr="00143D5A">
        <w:rPr>
          <w:i/>
          <w:sz w:val="26"/>
          <w:szCs w:val="26"/>
          <w:lang w:val="uk-UA" w:eastAsia="uk-UA"/>
        </w:rPr>
        <w:t xml:space="preserve"> від </w:t>
      </w:r>
      <w:r w:rsidR="00777AED">
        <w:rPr>
          <w:i/>
          <w:sz w:val="26"/>
          <w:szCs w:val="26"/>
          <w:lang w:val="uk-UA" w:eastAsia="uk-UA"/>
        </w:rPr>
        <w:t>1</w:t>
      </w:r>
      <w:r w:rsidR="0039491A">
        <w:rPr>
          <w:i/>
          <w:sz w:val="26"/>
          <w:szCs w:val="26"/>
          <w:lang w:val="uk-UA" w:eastAsia="uk-UA"/>
        </w:rPr>
        <w:t>6</w:t>
      </w:r>
      <w:r w:rsidRPr="00143D5A">
        <w:rPr>
          <w:rFonts w:eastAsia="Calibri" w:cs="Times New Roman"/>
          <w:i/>
          <w:sz w:val="26"/>
          <w:szCs w:val="26"/>
          <w:lang w:val="uk-UA" w:eastAsia="uk-UA"/>
        </w:rPr>
        <w:t>.12.202</w:t>
      </w:r>
      <w:r w:rsidR="00F52EB1">
        <w:rPr>
          <w:rFonts w:eastAsia="Calibri" w:cs="Times New Roman"/>
          <w:i/>
          <w:sz w:val="26"/>
          <w:szCs w:val="26"/>
          <w:lang w:val="uk-UA" w:eastAsia="uk-UA"/>
        </w:rPr>
        <w:t>2</w:t>
      </w:r>
      <w:r w:rsidRPr="00143D5A">
        <w:rPr>
          <w:rFonts w:eastAsia="Calibri" w:cs="Times New Roman"/>
          <w:i/>
          <w:sz w:val="26"/>
          <w:szCs w:val="26"/>
          <w:lang w:val="uk-UA" w:eastAsia="uk-UA"/>
        </w:rPr>
        <w:t>р.</w:t>
      </w:r>
    </w:p>
    <w:p w14:paraId="11B16A26" w14:textId="4518C4F3" w:rsidR="00671BC8" w:rsidRPr="00143D5A" w:rsidRDefault="00671BC8" w:rsidP="00671BC8">
      <w:pPr>
        <w:pStyle w:val="a9"/>
        <w:jc w:val="right"/>
        <w:rPr>
          <w:rFonts w:eastAsia="Calibri" w:cs="Times New Roman"/>
          <w:i/>
          <w:sz w:val="26"/>
          <w:szCs w:val="26"/>
          <w:lang w:val="uk-UA" w:eastAsia="uk-UA"/>
        </w:rPr>
      </w:pPr>
      <w:r w:rsidRPr="00143D5A">
        <w:rPr>
          <w:rFonts w:eastAsia="Calibri" w:cs="Times New Roman"/>
          <w:i/>
          <w:sz w:val="26"/>
          <w:szCs w:val="26"/>
          <w:lang w:val="uk-UA" w:eastAsia="uk-UA"/>
        </w:rPr>
        <w:t xml:space="preserve">№ </w:t>
      </w:r>
      <w:r w:rsidR="00CA54B0">
        <w:rPr>
          <w:rFonts w:eastAsia="Calibri" w:cs="Times New Roman"/>
          <w:i/>
          <w:sz w:val="26"/>
          <w:szCs w:val="26"/>
          <w:lang w:val="uk-UA" w:eastAsia="uk-UA"/>
        </w:rPr>
        <w:t>1017</w:t>
      </w:r>
      <w:r w:rsidRPr="00143D5A">
        <w:rPr>
          <w:rFonts w:eastAsia="Calibri" w:cs="Times New Roman"/>
          <w:i/>
          <w:sz w:val="26"/>
          <w:szCs w:val="26"/>
          <w:lang w:val="uk-UA" w:eastAsia="uk-UA"/>
        </w:rPr>
        <w:t>-1</w:t>
      </w:r>
      <w:r w:rsidR="00777AED">
        <w:rPr>
          <w:rFonts w:eastAsia="Calibri" w:cs="Times New Roman"/>
          <w:i/>
          <w:sz w:val="26"/>
          <w:szCs w:val="26"/>
          <w:lang w:val="uk-UA" w:eastAsia="uk-UA"/>
        </w:rPr>
        <w:t>8</w:t>
      </w:r>
      <w:r w:rsidRPr="00143D5A">
        <w:rPr>
          <w:rFonts w:eastAsia="Calibri" w:cs="Times New Roman"/>
          <w:i/>
          <w:sz w:val="26"/>
          <w:szCs w:val="26"/>
          <w:lang w:val="uk-UA" w:eastAsia="uk-UA"/>
        </w:rPr>
        <w:t>/VIІІ</w:t>
      </w:r>
    </w:p>
    <w:p w14:paraId="5E41E0FC" w14:textId="77777777" w:rsidR="00671BC8" w:rsidRPr="00143D5A" w:rsidRDefault="00671BC8" w:rsidP="00671BC8">
      <w:pPr>
        <w:pStyle w:val="a9"/>
        <w:ind w:firstLine="708"/>
        <w:jc w:val="both"/>
        <w:rPr>
          <w:color w:val="000000"/>
          <w:sz w:val="26"/>
          <w:szCs w:val="26"/>
          <w:lang w:val="uk-UA"/>
        </w:rPr>
      </w:pPr>
    </w:p>
    <w:p w14:paraId="206111B2" w14:textId="77777777" w:rsidR="00B8789C" w:rsidRPr="00143D5A" w:rsidRDefault="00B8789C" w:rsidP="000C7BCE">
      <w:pPr>
        <w:shd w:val="clear" w:color="auto" w:fill="FFFFFF" w:themeFill="background1"/>
        <w:spacing w:after="0"/>
        <w:ind w:right="-285"/>
        <w:jc w:val="center"/>
        <w:rPr>
          <w:rFonts w:eastAsia="Times New Roman" w:cs="Times New Roman"/>
          <w:b/>
          <w:bCs/>
          <w:sz w:val="26"/>
          <w:szCs w:val="26"/>
          <w:lang w:val="uk-UA" w:eastAsia="ru-RU"/>
        </w:rPr>
      </w:pPr>
    </w:p>
    <w:p w14:paraId="46F08D97" w14:textId="77777777" w:rsidR="00B8789C" w:rsidRPr="00143D5A" w:rsidRDefault="00B8789C" w:rsidP="000C7BCE">
      <w:pPr>
        <w:shd w:val="clear" w:color="auto" w:fill="FFFFFF" w:themeFill="background1"/>
        <w:spacing w:after="0"/>
        <w:ind w:right="-285"/>
        <w:jc w:val="center"/>
        <w:rPr>
          <w:rFonts w:eastAsia="Times New Roman" w:cs="Times New Roman"/>
          <w:b/>
          <w:bCs/>
          <w:sz w:val="26"/>
          <w:szCs w:val="26"/>
          <w:lang w:val="uk-UA" w:eastAsia="ru-RU"/>
        </w:rPr>
      </w:pPr>
    </w:p>
    <w:p w14:paraId="1574AEFA" w14:textId="77777777" w:rsidR="009974DD" w:rsidRPr="00143D5A" w:rsidRDefault="009974DD" w:rsidP="000C7BCE">
      <w:pPr>
        <w:shd w:val="clear" w:color="auto" w:fill="FFFFFF" w:themeFill="background1"/>
        <w:spacing w:after="0"/>
        <w:ind w:right="-285"/>
        <w:jc w:val="center"/>
        <w:rPr>
          <w:rFonts w:eastAsia="Times New Roman" w:cs="Times New Roman"/>
          <w:b/>
          <w:sz w:val="26"/>
          <w:szCs w:val="26"/>
          <w:lang w:val="uk-UA" w:eastAsia="ru-RU"/>
        </w:rPr>
      </w:pPr>
      <w:r w:rsidRPr="00143D5A">
        <w:rPr>
          <w:rFonts w:eastAsia="Times New Roman" w:cs="Times New Roman"/>
          <w:b/>
          <w:bCs/>
          <w:sz w:val="26"/>
          <w:szCs w:val="26"/>
          <w:lang w:val="uk-UA" w:eastAsia="ru-RU"/>
        </w:rPr>
        <w:t>ПОЛОЖЕННЯ</w:t>
      </w:r>
    </w:p>
    <w:p w14:paraId="38696D7C" w14:textId="77777777" w:rsidR="009974DD" w:rsidRPr="00143D5A" w:rsidRDefault="009974DD" w:rsidP="000C7BCE">
      <w:pPr>
        <w:shd w:val="clear" w:color="auto" w:fill="FFFFFF" w:themeFill="background1"/>
        <w:spacing w:after="0"/>
        <w:ind w:right="-285"/>
        <w:jc w:val="center"/>
        <w:rPr>
          <w:rFonts w:eastAsia="Times New Roman" w:cs="Times New Roman"/>
          <w:b/>
          <w:bCs/>
          <w:sz w:val="26"/>
          <w:szCs w:val="26"/>
          <w:lang w:val="uk-UA" w:eastAsia="ru-RU"/>
        </w:rPr>
      </w:pPr>
      <w:r w:rsidRPr="00143D5A">
        <w:rPr>
          <w:rFonts w:eastAsia="Times New Roman" w:cs="Times New Roman"/>
          <w:b/>
          <w:bCs/>
          <w:sz w:val="26"/>
          <w:szCs w:val="26"/>
          <w:lang w:val="uk-UA" w:eastAsia="ru-RU"/>
        </w:rPr>
        <w:t xml:space="preserve">про облікову політику </w:t>
      </w:r>
      <w:r w:rsidR="00671BC8" w:rsidRPr="00143D5A">
        <w:rPr>
          <w:rFonts w:eastAsia="Times New Roman" w:cs="Times New Roman"/>
          <w:b/>
          <w:bCs/>
          <w:sz w:val="26"/>
          <w:szCs w:val="26"/>
          <w:lang w:val="uk-UA" w:eastAsia="ru-RU"/>
        </w:rPr>
        <w:t xml:space="preserve">Сурсько-Литовської </w:t>
      </w:r>
      <w:r w:rsidR="00523CEC" w:rsidRPr="00143D5A">
        <w:rPr>
          <w:rFonts w:eastAsia="Times New Roman" w:cs="Times New Roman"/>
          <w:b/>
          <w:bCs/>
          <w:sz w:val="26"/>
          <w:szCs w:val="26"/>
          <w:lang w:val="uk-UA" w:eastAsia="ru-RU"/>
        </w:rPr>
        <w:t>сільської</w:t>
      </w:r>
      <w:r w:rsidRPr="00143D5A">
        <w:rPr>
          <w:rFonts w:eastAsia="Times New Roman" w:cs="Times New Roman"/>
          <w:b/>
          <w:bCs/>
          <w:sz w:val="26"/>
          <w:szCs w:val="26"/>
          <w:lang w:val="uk-UA" w:eastAsia="ru-RU"/>
        </w:rPr>
        <w:t xml:space="preserve"> ради</w:t>
      </w:r>
    </w:p>
    <w:p w14:paraId="3F99FE85" w14:textId="77777777" w:rsidR="008121C0" w:rsidRPr="00143D5A" w:rsidRDefault="008121C0" w:rsidP="000C7BCE">
      <w:pPr>
        <w:shd w:val="clear" w:color="auto" w:fill="FFFFFF" w:themeFill="background1"/>
        <w:spacing w:after="0"/>
        <w:ind w:right="-285"/>
        <w:rPr>
          <w:rFonts w:eastAsia="Times New Roman" w:cs="Times New Roman"/>
          <w:sz w:val="26"/>
          <w:szCs w:val="26"/>
          <w:lang w:val="uk-UA" w:eastAsia="ru-RU"/>
        </w:rPr>
      </w:pPr>
    </w:p>
    <w:p w14:paraId="11C6114E" w14:textId="77777777" w:rsidR="008121C0" w:rsidRPr="00143D5A" w:rsidRDefault="009974DD" w:rsidP="000C7BCE">
      <w:pPr>
        <w:numPr>
          <w:ilvl w:val="0"/>
          <w:numId w:val="1"/>
        </w:numPr>
        <w:shd w:val="clear" w:color="auto" w:fill="FFFFFF" w:themeFill="background1"/>
        <w:spacing w:after="0"/>
        <w:ind w:left="0" w:right="-285"/>
        <w:jc w:val="center"/>
        <w:rPr>
          <w:rFonts w:eastAsia="Times New Roman" w:cs="Times New Roman"/>
          <w:b/>
          <w:caps/>
          <w:sz w:val="26"/>
          <w:szCs w:val="26"/>
          <w:lang w:val="uk-UA" w:eastAsia="ru-RU"/>
        </w:rPr>
      </w:pPr>
      <w:r w:rsidRPr="00143D5A">
        <w:rPr>
          <w:rFonts w:eastAsia="Times New Roman" w:cs="Times New Roman"/>
          <w:b/>
          <w:bCs/>
          <w:caps/>
          <w:sz w:val="26"/>
          <w:szCs w:val="26"/>
          <w:lang w:val="uk-UA" w:eastAsia="ru-RU"/>
        </w:rPr>
        <w:t>Загальні положення</w:t>
      </w:r>
    </w:p>
    <w:p w14:paraId="7692A0C5" w14:textId="77777777"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Організація бухгалтерського обліку здійснюється відповідно до</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Бюджетного кодексу України, Податкового кодексу України, Закону про Державний бюджет України на відповідний рік, Закону України «Про бухгалтерський облік та фінансову  звітність в Ук</w:t>
      </w:r>
      <w:r w:rsidR="00523CEC" w:rsidRPr="00143D5A">
        <w:rPr>
          <w:rFonts w:eastAsia="Times New Roman" w:cs="Times New Roman"/>
          <w:sz w:val="26"/>
          <w:szCs w:val="26"/>
          <w:lang w:val="uk-UA" w:eastAsia="ru-RU"/>
        </w:rPr>
        <w:t xml:space="preserve">раїні» від 16.07.1999 року </w:t>
      </w:r>
      <w:r w:rsidRPr="00143D5A">
        <w:rPr>
          <w:rFonts w:eastAsia="Times New Roman" w:cs="Times New Roman"/>
          <w:sz w:val="26"/>
          <w:szCs w:val="26"/>
          <w:lang w:val="uk-UA" w:eastAsia="ru-RU"/>
        </w:rPr>
        <w:t>№ 996-ХІV(із змінами  та доповненнями), постанов та розпоряджень Кабінету Міністрів України, наказів Міністерства фінансів України та Державної казначейської служби України, цього Положення та інших нормативно-правових актів, які регламентують бюджетні відносини і фінансово-господарську діяльність бюджетної установи, Національних положень (стандартів) бухгалтерського обліку в державному секторі, Наказу Міністерства фінансів України  від 23.01.2015 № 11 «Про затвердження Методичних рекомендацій щодо облікової політики суб’єкта державного сектору», Типового положення про бухгалтерську службу бюджетної установи, затвердженого постановою Кабінету Міністрів України 26.01.2011 р.  № 59, Наказу Міністерства фінансів України від 26.06.2013 р. № 611 «Про затвердження Плану рахунків бухгалтерського обліку бюджетних установ».</w:t>
      </w:r>
    </w:p>
    <w:p w14:paraId="722E91AF" w14:textId="77777777"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Організація ведення обліку в </w:t>
      </w:r>
      <w:r w:rsidR="00671BC8"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 xml:space="preserve"> сільській </w:t>
      </w:r>
      <w:r w:rsidRPr="00143D5A">
        <w:rPr>
          <w:rFonts w:eastAsia="Times New Roman" w:cs="Times New Roman"/>
          <w:sz w:val="26"/>
          <w:szCs w:val="26"/>
          <w:lang w:val="uk-UA" w:eastAsia="ru-RU"/>
        </w:rPr>
        <w:t xml:space="preserve">раді покладається на </w:t>
      </w:r>
      <w:r w:rsidR="00671BC8" w:rsidRPr="00143D5A">
        <w:rPr>
          <w:rFonts w:eastAsia="Times New Roman" w:cs="Times New Roman"/>
          <w:sz w:val="26"/>
          <w:szCs w:val="26"/>
          <w:lang w:val="uk-UA" w:eastAsia="ru-RU"/>
        </w:rPr>
        <w:t xml:space="preserve">фінансовий відділ  та </w:t>
      </w:r>
      <w:r w:rsidRPr="00143D5A">
        <w:rPr>
          <w:rFonts w:eastAsia="Times New Roman" w:cs="Times New Roman"/>
          <w:sz w:val="26"/>
          <w:szCs w:val="26"/>
          <w:lang w:val="uk-UA" w:eastAsia="ru-RU"/>
        </w:rPr>
        <w:t xml:space="preserve">відділ </w:t>
      </w:r>
      <w:r w:rsidR="00B8789C" w:rsidRPr="00143D5A">
        <w:rPr>
          <w:rFonts w:eastAsia="Times New Roman" w:cs="Times New Roman"/>
          <w:sz w:val="26"/>
          <w:szCs w:val="26"/>
          <w:lang w:val="uk-UA" w:eastAsia="ru-RU"/>
        </w:rPr>
        <w:t>обліку та звітності (далі – в</w:t>
      </w:r>
      <w:r w:rsidRPr="00143D5A">
        <w:rPr>
          <w:rFonts w:eastAsia="Times New Roman" w:cs="Times New Roman"/>
          <w:sz w:val="26"/>
          <w:szCs w:val="26"/>
          <w:lang w:val="uk-UA" w:eastAsia="ru-RU"/>
        </w:rPr>
        <w:t>ідділ</w:t>
      </w:r>
      <w:r w:rsidR="00671BC8" w:rsidRPr="00143D5A">
        <w:rPr>
          <w:rFonts w:eastAsia="Times New Roman" w:cs="Times New Roman"/>
          <w:sz w:val="26"/>
          <w:szCs w:val="26"/>
          <w:lang w:val="uk-UA" w:eastAsia="ru-RU"/>
        </w:rPr>
        <w:t>и</w:t>
      </w:r>
      <w:r w:rsidRPr="00143D5A">
        <w:rPr>
          <w:rFonts w:eastAsia="Times New Roman" w:cs="Times New Roman"/>
          <w:sz w:val="26"/>
          <w:szCs w:val="26"/>
          <w:lang w:val="uk-UA" w:eastAsia="ru-RU"/>
        </w:rPr>
        <w:t>). Відділ</w:t>
      </w:r>
      <w:r w:rsidR="00671BC8" w:rsidRPr="00143D5A">
        <w:rPr>
          <w:rFonts w:eastAsia="Times New Roman" w:cs="Times New Roman"/>
          <w:sz w:val="26"/>
          <w:szCs w:val="26"/>
          <w:lang w:val="uk-UA" w:eastAsia="ru-RU"/>
        </w:rPr>
        <w:t>и</w:t>
      </w:r>
      <w:r w:rsidRPr="00143D5A">
        <w:rPr>
          <w:rFonts w:eastAsia="Times New Roman" w:cs="Times New Roman"/>
          <w:sz w:val="26"/>
          <w:szCs w:val="26"/>
          <w:lang w:val="uk-UA" w:eastAsia="ru-RU"/>
        </w:rPr>
        <w:t xml:space="preserve"> очолює начальник відділу, який </w:t>
      </w:r>
      <w:r w:rsidR="00B8789C" w:rsidRPr="00143D5A">
        <w:rPr>
          <w:rFonts w:eastAsia="Times New Roman" w:cs="Times New Roman"/>
          <w:sz w:val="26"/>
          <w:szCs w:val="26"/>
          <w:lang w:val="uk-UA" w:eastAsia="ru-RU"/>
        </w:rPr>
        <w:t>призначається на посаду сільським</w:t>
      </w:r>
      <w:r w:rsidRPr="00143D5A">
        <w:rPr>
          <w:rFonts w:eastAsia="Times New Roman" w:cs="Times New Roman"/>
          <w:sz w:val="26"/>
          <w:szCs w:val="26"/>
          <w:lang w:val="uk-UA" w:eastAsia="ru-RU"/>
        </w:rPr>
        <w:t xml:space="preserve">  головою. Кількісний і якісний склад відділу визначається штатним розписом.</w:t>
      </w:r>
    </w:p>
    <w:p w14:paraId="7F97EAF8" w14:textId="77777777"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Права та обов’язки н</w:t>
      </w:r>
      <w:r w:rsidR="00671BC8" w:rsidRPr="00143D5A">
        <w:rPr>
          <w:rFonts w:eastAsia="Times New Roman" w:cs="Times New Roman"/>
          <w:sz w:val="26"/>
          <w:szCs w:val="26"/>
          <w:lang w:val="uk-UA" w:eastAsia="ru-RU"/>
        </w:rPr>
        <w:t>ачальника та працівників відділів</w:t>
      </w:r>
      <w:r w:rsidRPr="00143D5A">
        <w:rPr>
          <w:rFonts w:eastAsia="Times New Roman" w:cs="Times New Roman"/>
          <w:sz w:val="26"/>
          <w:szCs w:val="26"/>
          <w:lang w:val="uk-UA" w:eastAsia="ru-RU"/>
        </w:rPr>
        <w:t xml:space="preserve"> визначаються Законом України "Про бухгалтерський облік та фінансову звітність в Україні", положенням, затвердженими посадовими інструкціями.</w:t>
      </w:r>
    </w:p>
    <w:p w14:paraId="021E2ACD" w14:textId="77777777"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Видача документів з питань ведення бухгалтерського обліку та складання фінансової звітності стороннім особам здійснюється з дозволу начальника відділу.</w:t>
      </w:r>
    </w:p>
    <w:p w14:paraId="5A5CB3F1" w14:textId="77777777"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Підставою для відображення операцій в бухгалтерському обліку є первинний документ, який фіксує факт здійснення операції. Оформлення та подання первинних документів слід здійснювати у строки, визначені Графіком документообігу.</w:t>
      </w:r>
    </w:p>
    <w:p w14:paraId="31700A9B" w14:textId="77777777" w:rsidR="008121C0"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Первинні документи складаються в момент здійснення операції, а якщо це неможливо — безпосередньо після її закінчення. Відповідальність за своєчасне і якісне складання документів, передачу їх для відображення в бухгалтерському обліку, за достовірність даних, наведених у документах, несуть особи, які склали та підписали ці документи.</w:t>
      </w:r>
    </w:p>
    <w:p w14:paraId="3253B5ED" w14:textId="77777777" w:rsidR="003F3736"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Облікова політика має забезпечувати:</w:t>
      </w:r>
    </w:p>
    <w:p w14:paraId="507701DD" w14:textId="77777777" w:rsidR="009974DD" w:rsidRPr="00143D5A" w:rsidRDefault="009974DD" w:rsidP="000C7BCE">
      <w:pPr>
        <w:pStyle w:val="a6"/>
        <w:numPr>
          <w:ilvl w:val="0"/>
          <w:numId w:val="3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повноту, достовірність та своєчасність відоб</w:t>
      </w:r>
      <w:r w:rsidRPr="00143D5A">
        <w:rPr>
          <w:rFonts w:eastAsia="Times New Roman" w:cs="Times New Roman"/>
          <w:sz w:val="26"/>
          <w:szCs w:val="26"/>
          <w:lang w:val="uk-UA" w:eastAsia="ru-RU"/>
        </w:rPr>
        <w:softHyphen/>
        <w:t>раження фактів фінансово-господарської діяльності в</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бухгалтерському обліку та фінансовій звітності;</w:t>
      </w:r>
    </w:p>
    <w:p w14:paraId="008F610B" w14:textId="77777777"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відображення в</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бухгалтерському обліку фактів фінансово-господарської діяльності не</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лише виходячи з їх правової форми, а  і з урахуванням їх економічного змісту;</w:t>
      </w:r>
    </w:p>
    <w:p w14:paraId="178A89BD" w14:textId="77777777"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дотримання вимог бюджетного законодавства, зокрема щодо економного та ефективного витрачання бюджетних коштів;</w:t>
      </w:r>
    </w:p>
    <w:p w14:paraId="38D2C79E" w14:textId="77777777"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контроль за наявністю і рухом майна, використанням фінансових і матеріальних (нематеріальних) ресурсів відповідно </w:t>
      </w:r>
      <w:r w:rsidR="003705A7" w:rsidRPr="00143D5A">
        <w:rPr>
          <w:rFonts w:eastAsia="Times New Roman" w:cs="Times New Roman"/>
          <w:sz w:val="26"/>
          <w:szCs w:val="26"/>
          <w:lang w:val="uk-UA" w:eastAsia="ru-RU"/>
        </w:rPr>
        <w:t>до затверджених нормативів, кош</w:t>
      </w:r>
      <w:r w:rsidRPr="00143D5A">
        <w:rPr>
          <w:rFonts w:eastAsia="Times New Roman" w:cs="Times New Roman"/>
          <w:sz w:val="26"/>
          <w:szCs w:val="26"/>
          <w:lang w:val="uk-UA" w:eastAsia="ru-RU"/>
        </w:rPr>
        <w:t>торисів та паспортів бюджетних програм;</w:t>
      </w:r>
    </w:p>
    <w:p w14:paraId="0940C0F8" w14:textId="77777777" w:rsidR="008B4ACC"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запобігання виникненню негативних явищ у фінансово-господарській діяльності, виявлення і мобілізація внутрішньогосподарських резервів.</w:t>
      </w:r>
    </w:p>
    <w:p w14:paraId="1437ADAF" w14:textId="77777777" w:rsidR="009974DD" w:rsidRPr="00143D5A" w:rsidRDefault="008B4ACC"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1.8 </w:t>
      </w:r>
      <w:r w:rsidR="009974DD" w:rsidRPr="00143D5A">
        <w:rPr>
          <w:rFonts w:eastAsia="Times New Roman" w:cs="Times New Roman"/>
          <w:sz w:val="26"/>
          <w:szCs w:val="26"/>
          <w:lang w:val="uk-UA" w:eastAsia="ru-RU"/>
        </w:rPr>
        <w:t>Дозволяється в разі службової необхідності, в тому числі і термінового направлення у відрядження, направляти у службові відрядження особовий склад без виплати авансу.</w:t>
      </w:r>
    </w:p>
    <w:p w14:paraId="370EBFE8" w14:textId="77777777" w:rsidR="009974DD" w:rsidRPr="00143D5A" w:rsidRDefault="009974DD" w:rsidP="000C7BCE">
      <w:pPr>
        <w:pStyle w:val="a6"/>
        <w:numPr>
          <w:ilvl w:val="1"/>
          <w:numId w:val="1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Встановити, що ліквідаційна вартість активів основних засобів дорівнює нулю.</w:t>
      </w:r>
    </w:p>
    <w:p w14:paraId="4BE4FD00" w14:textId="77777777" w:rsidR="003F3736" w:rsidRPr="00143D5A" w:rsidRDefault="003F3736" w:rsidP="000C7BCE">
      <w:pPr>
        <w:pStyle w:val="a6"/>
        <w:shd w:val="clear" w:color="auto" w:fill="FFFFFF" w:themeFill="background1"/>
        <w:spacing w:after="0"/>
        <w:ind w:left="0" w:right="-285" w:firstLine="709"/>
        <w:jc w:val="both"/>
        <w:rPr>
          <w:rFonts w:eastAsia="Times New Roman" w:cs="Times New Roman"/>
          <w:sz w:val="26"/>
          <w:szCs w:val="26"/>
          <w:lang w:val="uk-UA" w:eastAsia="ru-RU"/>
        </w:rPr>
      </w:pPr>
    </w:p>
    <w:p w14:paraId="2ACABB0C" w14:textId="77777777" w:rsidR="009974DD" w:rsidRPr="00143D5A" w:rsidRDefault="009974DD" w:rsidP="000C7BCE">
      <w:pPr>
        <w:numPr>
          <w:ilvl w:val="0"/>
          <w:numId w:val="2"/>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Організація бухгалтерського обліку, складання та подання фінансової звітності</w:t>
      </w:r>
    </w:p>
    <w:p w14:paraId="3E76913A" w14:textId="77777777" w:rsidR="00671BC8" w:rsidRPr="00143D5A" w:rsidRDefault="00671BC8" w:rsidP="00671BC8">
      <w:pPr>
        <w:shd w:val="clear" w:color="auto" w:fill="FFFFFF" w:themeFill="background1"/>
        <w:spacing w:after="0"/>
        <w:ind w:left="709" w:right="-285"/>
        <w:rPr>
          <w:rFonts w:eastAsia="Times New Roman" w:cs="Times New Roman"/>
          <w:caps/>
          <w:sz w:val="26"/>
          <w:szCs w:val="26"/>
          <w:lang w:val="uk-UA" w:eastAsia="ru-RU"/>
        </w:rPr>
      </w:pPr>
    </w:p>
    <w:p w14:paraId="65AE3E0D"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Установити форму бухгалтерського обліку – меморіально-ордерну, застосовувати форми меморіальних ордерів бюджетних установ, призначені для використання при автоматизованому веденні бухгалтерського обліку, затверджені наказом Міністерства фінансів України від 08.09.2017 р. № 755 «Про затвердження типових форм меморіальних ордерів, інших облікових регістрів суб’єктів державного сектору та порядку їх складання» (із змінами).</w:t>
      </w:r>
    </w:p>
    <w:p w14:paraId="688F6CB6"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Бухгалтерський облік усіх господарських операцій, пов’язаних з виконанням кошторисів здійснювати у хронологічному порядку за меморіально-ордерною формою обліку з використанням комп’ютерної програми  «АІС «Місцеві бюджети рівня розпорядника бюджетних коштів».</w:t>
      </w:r>
    </w:p>
    <w:p w14:paraId="614A62D9"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Оформлення та подання первинних документів відбувається відповідно до вимог Положення про документальне забезпечення записів у бухгалтерському обліку, затвердженого наказом Міністерства фінансів України від 24.05.95 р. № 88 (із змінами), у строки, які визначені графіком документообігу </w:t>
      </w:r>
      <w:r w:rsidR="00671BC8"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w:t>
      </w:r>
    </w:p>
    <w:p w14:paraId="7DBF0BC6"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Перелік осіб, яким надано право підпису бухгалтерських та фінансових документів, затверджуються розпорядженням </w:t>
      </w:r>
      <w:r w:rsidR="004C7F06"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Зазначені особи несуть відповідальність за достовірність таких документів та своєчасність їх складання.                  </w:t>
      </w:r>
    </w:p>
    <w:p w14:paraId="2533AF2E"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Право підпису первинних документів з руху товарно-матеріальних цінностей надається особам, що одержали цінності.</w:t>
      </w:r>
    </w:p>
    <w:p w14:paraId="4AD4421D"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Матеріально-відповідальними особами </w:t>
      </w:r>
      <w:r w:rsidR="003705A7"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визначаються особи, з якими підписані відповідні договори на матеріальну відповідальність.</w:t>
      </w:r>
    </w:p>
    <w:p w14:paraId="4BF93A89"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Первинні документи мають бути підписані особисто </w:t>
      </w:r>
      <w:r w:rsidR="003705A7" w:rsidRPr="00143D5A">
        <w:rPr>
          <w:rFonts w:eastAsia="Times New Roman" w:cs="Times New Roman"/>
          <w:sz w:val="26"/>
          <w:szCs w:val="26"/>
          <w:lang w:val="uk-UA" w:eastAsia="ru-RU"/>
        </w:rPr>
        <w:t>та</w:t>
      </w:r>
      <w:r w:rsidRPr="00143D5A">
        <w:rPr>
          <w:rFonts w:eastAsia="Times New Roman" w:cs="Times New Roman"/>
          <w:sz w:val="26"/>
          <w:szCs w:val="26"/>
          <w:lang w:val="uk-UA" w:eastAsia="ru-RU"/>
        </w:rPr>
        <w:t xml:space="preserve"> бути скріплений мокрою печаткою.</w:t>
      </w:r>
    </w:p>
    <w:p w14:paraId="3347781B"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Меморіальні ордери, обігові відомості аналітичного обліку та інші облікові регістри повинні бути підписані спеціалістом-виконавцем, відповідальним за складання даного облікового документу, особою, що перевірила меморіальний ордер, та начальником відділу-головним бухгалтером.</w:t>
      </w:r>
    </w:p>
    <w:p w14:paraId="57D77195"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Меморіальні ордери за всіма програмами економічної класифікації реєструвати в єдиній книзі «Журнал-головна».</w:t>
      </w:r>
    </w:p>
    <w:p w14:paraId="7F2D4FCB"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Облік грошових документів в національній валюті (кошти, що містяться в оплачених талонах на пальне, проїзних документах, путівках у санаторії, чекових книжках, поштових марках тощо) здійснювати з використанням типових форм первинного обліку бланків суворої звітності, затверджених наказом Міністерства </w:t>
      </w:r>
      <w:r w:rsidRPr="00143D5A">
        <w:rPr>
          <w:rFonts w:eastAsia="Times New Roman" w:cs="Times New Roman"/>
          <w:sz w:val="26"/>
          <w:szCs w:val="26"/>
          <w:lang w:val="uk-UA" w:eastAsia="ru-RU"/>
        </w:rPr>
        <w:lastRenderedPageBreak/>
        <w:t>статистики України від 11.03.96 р. № 67. Грошові документи повинні зберігатися у сейфі особи, відповідальної за використання даних грошових документів.</w:t>
      </w:r>
    </w:p>
    <w:p w14:paraId="085B29D1"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асигнувань та  здійснення  касових видатків   загального фонду, тобто  вибірки  з  надходження  та витрачання коштів з реєстраційних (особових)  рахунків в  органах Державного  казначейства  України використовувати меморіальний ордер № 2, окремо за кожним рахунком.</w:t>
      </w:r>
    </w:p>
    <w:p w14:paraId="2C5FEF33"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Накопичувальні відомості складати  окремо за кожним реєстраційним (особовим,  поточним) рахунком. Записи операцій  в  накопичувальні  відомості здійснювати на підставі щоденних виписок  з  реєстраційних  (особових,  поточних) рахунків, відкритих  в  органах  Державного  казначейства України, з  доданням  до  них  підтвердних  документів (платіжних доручень тощо).</w:t>
      </w:r>
    </w:p>
    <w:p w14:paraId="77683ACF"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доходів  та  здійснення  касових видатків  спеціального  фонду,  тобто  вибірки  з  надходження  та витрачання коштів зі спеціальних реєстраційних (поточних) рахунків в органах Державного казначейства України (установах банків) застосовувати меморіальний ордер № 3. При наявності  декількох  рахунків   в   органах   Державного казначейства   України   (установах  банків),  відкритих  на  ім'я органу місцевого самоврядування, накопичувальні відомості складати окремо за кожним спеціальним реєстраційним (поточним) рахунком.</w:t>
      </w:r>
    </w:p>
    <w:p w14:paraId="74A51BBF"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Господарські та цивільні відносини з постачальниками товарів, робіт та послуг обов’язково оформляти договорами.</w:t>
      </w:r>
    </w:p>
    <w:p w14:paraId="7D2654A9"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Договори укладати, враховуючи вимоги Господарського кодексу України, Цивільного кодексу України, Бюджетного кодексу України, Закону України «Про здійснення державних закупівель» та інших нормативно-правових актів.</w:t>
      </w:r>
    </w:p>
    <w:p w14:paraId="428AD559"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Договори (крім довгострокових) укладати виключно в межах бюджетних асигнувань, установлених кошторисами. Розрахунки з юридичними та фізичними особами (крім розрахунків з підзвітними особами) за товари, роботи та послуги здійснювати після їх отримання. Попередня оплата товарів, робіт на послуг допускається виключно у випадках, визначених Постановою Кабінету Міністрів України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 04.12.2019 р. № 1070 (із змінами).</w:t>
      </w:r>
    </w:p>
    <w:p w14:paraId="63279E35"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Відповідно до пункту 1.3 Положення про документальне забезпечення записів у бухгалтерському обліку, затвердженому наказом Міністерства фінансів України від 24 травня 1995 року № 88, зареєстрованому в Міністерстві юстиції України 05 червня 1995 року за № 168/704, усі первинні документи, облікові реєстри, фінансова, статистична та інша звітність складаються українською мовою.</w:t>
      </w:r>
    </w:p>
    <w:p w14:paraId="01ED4028"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Первинні документи і регістри бухгалтерського обліку, виготовлені на паперових носіях, зберігаються у відділі бухгалтерського обліку та звітності. За умови завершення перевірки органами державної аудиторської служби України первинні   документи і регістри бухгалтерського обліку, виготовлені на паперових носіях, передаються в архів.</w:t>
      </w:r>
    </w:p>
    <w:p w14:paraId="05C2FD66" w14:textId="77777777" w:rsidR="009974DD" w:rsidRPr="00143D5A" w:rsidRDefault="00965A7D" w:rsidP="00965A7D">
      <w:pPr>
        <w:pStyle w:val="a6"/>
        <w:numPr>
          <w:ilvl w:val="1"/>
          <w:numId w:val="17"/>
        </w:numPr>
        <w:shd w:val="clear" w:color="auto" w:fill="FFFFFF" w:themeFill="background1"/>
        <w:spacing w:after="0"/>
        <w:ind w:left="0" w:right="-285" w:firstLine="709"/>
        <w:rPr>
          <w:rFonts w:eastAsia="Times New Roman" w:cs="Times New Roman"/>
          <w:sz w:val="26"/>
          <w:szCs w:val="26"/>
          <w:lang w:val="uk-UA" w:eastAsia="ru-RU"/>
        </w:rPr>
      </w:pPr>
      <w:r w:rsidRPr="00143D5A">
        <w:rPr>
          <w:rFonts w:eastAsia="Times New Roman" w:cs="Times New Roman"/>
          <w:sz w:val="26"/>
          <w:szCs w:val="26"/>
          <w:lang w:val="uk-UA" w:eastAsia="ru-RU"/>
        </w:rPr>
        <w:t xml:space="preserve">Начальник відділу </w:t>
      </w:r>
      <w:r w:rsidR="007F2BF2" w:rsidRPr="00143D5A">
        <w:rPr>
          <w:rFonts w:eastAsia="Times New Roman" w:cs="Times New Roman"/>
          <w:sz w:val="26"/>
          <w:szCs w:val="26"/>
          <w:lang w:val="uk-UA" w:eastAsia="ru-RU"/>
        </w:rPr>
        <w:t xml:space="preserve">або особа, </w:t>
      </w:r>
      <w:r w:rsidR="009974DD" w:rsidRPr="00143D5A">
        <w:rPr>
          <w:rFonts w:eastAsia="Times New Roman" w:cs="Times New Roman"/>
          <w:sz w:val="26"/>
          <w:szCs w:val="26"/>
          <w:lang w:val="uk-UA" w:eastAsia="ru-RU"/>
        </w:rPr>
        <w:t>на яку покладено ведення бухгалтерського обліку у</w:t>
      </w:r>
      <w:r w:rsidR="007F2BF2" w:rsidRPr="00143D5A">
        <w:rPr>
          <w:rFonts w:eastAsia="Times New Roman" w:cs="Times New Roman"/>
          <w:sz w:val="26"/>
          <w:szCs w:val="26"/>
          <w:lang w:val="uk-UA" w:eastAsia="ru-RU"/>
        </w:rPr>
        <w:t xml:space="preserve">станови (далі - спеціаліст): </w:t>
      </w:r>
      <w:r w:rsidR="009974DD" w:rsidRPr="00143D5A">
        <w:rPr>
          <w:rFonts w:eastAsia="Times New Roman" w:cs="Times New Roman"/>
          <w:sz w:val="26"/>
          <w:szCs w:val="26"/>
          <w:lang w:val="uk-UA" w:eastAsia="ru-RU"/>
        </w:rPr>
        <w:t>забезпечує дотримання  в установі встановлених єдиних</w:t>
      </w:r>
      <w:r w:rsidRPr="00143D5A">
        <w:rPr>
          <w:rFonts w:eastAsia="Times New Roman" w:cs="Times New Roman"/>
          <w:sz w:val="26"/>
          <w:szCs w:val="26"/>
          <w:lang w:val="uk-UA" w:eastAsia="ru-RU"/>
        </w:rPr>
        <w:t xml:space="preserve"> </w:t>
      </w:r>
      <w:r w:rsidR="009974DD" w:rsidRPr="00143D5A">
        <w:rPr>
          <w:rFonts w:eastAsia="Times New Roman" w:cs="Times New Roman"/>
          <w:sz w:val="26"/>
          <w:szCs w:val="26"/>
          <w:lang w:val="uk-UA" w:eastAsia="ru-RU"/>
        </w:rPr>
        <w:t>методологічних засад бухгалтерського обліку, керується посадовою інструкцією та законодавчими актами відповідно до посадових обов’язків.</w:t>
      </w:r>
    </w:p>
    <w:p w14:paraId="247FF4BF"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Граничні обсяги витрат регулює  Постанова від 4 квітня 2001 р. N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w:t>
      </w:r>
      <w:r w:rsidRPr="00143D5A">
        <w:rPr>
          <w:rFonts w:eastAsia="Times New Roman" w:cs="Times New Roman"/>
          <w:sz w:val="26"/>
          <w:szCs w:val="26"/>
          <w:lang w:val="uk-UA" w:eastAsia="ru-RU"/>
        </w:rPr>
        <w:lastRenderedPageBreak/>
        <w:t>установами та організаціями, які утримуються за рахунок державного бюджету» (із змінами). (Обмеження не стосується видатків із місцевого бюджету).</w:t>
      </w:r>
    </w:p>
    <w:p w14:paraId="5BDD00D1"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Працівникам</w:t>
      </w:r>
      <w:r w:rsidR="009B30DA">
        <w:rPr>
          <w:rFonts w:eastAsia="Times New Roman" w:cs="Times New Roman"/>
          <w:sz w:val="26"/>
          <w:szCs w:val="26"/>
          <w:lang w:val="uk-UA" w:eastAsia="ru-RU"/>
        </w:rPr>
        <w:t xml:space="preserve"> фінансового </w:t>
      </w:r>
      <w:r w:rsidRPr="00143D5A">
        <w:rPr>
          <w:rFonts w:eastAsia="Times New Roman" w:cs="Times New Roman"/>
          <w:sz w:val="26"/>
          <w:szCs w:val="26"/>
          <w:lang w:val="uk-UA" w:eastAsia="ru-RU"/>
        </w:rPr>
        <w:t xml:space="preserve"> відділу</w:t>
      </w:r>
      <w:r w:rsidR="009B30DA">
        <w:rPr>
          <w:rFonts w:eastAsia="Times New Roman" w:cs="Times New Roman"/>
          <w:sz w:val="26"/>
          <w:szCs w:val="26"/>
          <w:lang w:val="uk-UA" w:eastAsia="ru-RU"/>
        </w:rPr>
        <w:t xml:space="preserve"> та відділу</w:t>
      </w:r>
      <w:r w:rsidRPr="00143D5A">
        <w:rPr>
          <w:rFonts w:eastAsia="Times New Roman" w:cs="Times New Roman"/>
          <w:sz w:val="26"/>
          <w:szCs w:val="26"/>
          <w:lang w:val="uk-UA" w:eastAsia="ru-RU"/>
        </w:rPr>
        <w:t xml:space="preserve"> обліку та звітності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які оформляють первинні документи, дотримуватися порядку їх заповнення відповідно до вимог  Положення про документальне забезпечення записів в бухгалтерському обліку, затвердженого наказом Мінфіну від 24.05.95 р. № 88, та інших нормативних документів.</w:t>
      </w:r>
    </w:p>
    <w:p w14:paraId="487540C8"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Помилки, виявлені в бухгалтерських регістрах, виправляються способом «сторно» на підставі бухгалтерської довідки з дотриманням вимог Положення про документальне забезпечення записів у бухгалтерському обліку, затвердженого наказом Міністерства фінансів України від 24.05.1995 № 88, та наказу від 08.09.2017 № 755 «Про затвердження типових форм меморіальних ордерів, інших облікових регістрів суб’єктів державного сектору та порядку їх складання».</w:t>
      </w:r>
    </w:p>
    <w:p w14:paraId="55431B90"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Усі меморіальні ордери підлягають реєстрації у книзі «Журнал-головна». Облік у книзі «Журнал-головна» ведеться по субрахунках.</w:t>
      </w:r>
    </w:p>
    <w:p w14:paraId="0A85342A"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Допускається створення первинних документів (журнал-головна, меморіальні ордери, карток обліку касових та фактичних видатків, книги отриманих асигнувань, рахунки та ін.), за допомогою комп’ютерної техніки та ведення їх в електронному вигляді.</w:t>
      </w:r>
    </w:p>
    <w:p w14:paraId="332EE25C"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Кошти установи обліковуються на реєстраційних рахунках, в</w:t>
      </w:r>
      <w:r w:rsidR="00F13412" w:rsidRPr="00143D5A">
        <w:rPr>
          <w:rFonts w:eastAsia="Times New Roman" w:cs="Times New Roman"/>
          <w:sz w:val="26"/>
          <w:szCs w:val="26"/>
          <w:lang w:val="uk-UA" w:eastAsia="ru-RU"/>
        </w:rPr>
        <w:t>ідкритих в управлінні Державної</w:t>
      </w:r>
      <w:r w:rsidRPr="00143D5A">
        <w:rPr>
          <w:rFonts w:eastAsia="Times New Roman" w:cs="Times New Roman"/>
          <w:sz w:val="26"/>
          <w:szCs w:val="26"/>
          <w:lang w:val="uk-UA" w:eastAsia="ru-RU"/>
        </w:rPr>
        <w:t xml:space="preserve"> казначейської служби України у </w:t>
      </w:r>
      <w:r w:rsidR="00965A7D" w:rsidRPr="00143D5A">
        <w:rPr>
          <w:rFonts w:eastAsia="Times New Roman" w:cs="Times New Roman"/>
          <w:sz w:val="26"/>
          <w:szCs w:val="26"/>
          <w:lang w:val="uk-UA" w:eastAsia="ru-RU"/>
        </w:rPr>
        <w:t>Дніпропетровській</w:t>
      </w:r>
      <w:r w:rsidRPr="00143D5A">
        <w:rPr>
          <w:rFonts w:eastAsia="Times New Roman" w:cs="Times New Roman"/>
          <w:sz w:val="26"/>
          <w:szCs w:val="26"/>
          <w:lang w:val="uk-UA" w:eastAsia="ru-RU"/>
        </w:rPr>
        <w:t xml:space="preserve"> області.</w:t>
      </w:r>
    </w:p>
    <w:p w14:paraId="28AEB89E"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асигнувань та здійснення видатків загального фонду бюджету застосо</w:t>
      </w:r>
      <w:r w:rsidR="008A4858" w:rsidRPr="00143D5A">
        <w:rPr>
          <w:rFonts w:eastAsia="Times New Roman" w:cs="Times New Roman"/>
          <w:sz w:val="26"/>
          <w:szCs w:val="26"/>
          <w:lang w:val="uk-UA" w:eastAsia="ru-RU"/>
        </w:rPr>
        <w:t>вується меморіальний ордер № 2 (</w:t>
      </w:r>
      <w:r w:rsidRPr="00143D5A">
        <w:rPr>
          <w:rFonts w:eastAsia="Times New Roman" w:cs="Times New Roman"/>
          <w:sz w:val="26"/>
          <w:szCs w:val="26"/>
          <w:lang w:val="uk-UA" w:eastAsia="ru-RU"/>
        </w:rPr>
        <w:t xml:space="preserve">за наявності декількох рахунків, відкритих на ім’я установи, кожний рахунок оформляється окремим меморіальним ордером, </w:t>
      </w:r>
      <w:r w:rsidR="008A4858" w:rsidRPr="00143D5A">
        <w:rPr>
          <w:rFonts w:eastAsia="Times New Roman" w:cs="Times New Roman"/>
          <w:sz w:val="26"/>
          <w:szCs w:val="26"/>
          <w:lang w:val="uk-UA" w:eastAsia="ru-RU"/>
        </w:rPr>
        <w:t>які нумеруються № 2-1, 2-2 тощо)</w:t>
      </w:r>
      <w:r w:rsidRPr="00143D5A">
        <w:rPr>
          <w:rFonts w:eastAsia="Times New Roman" w:cs="Times New Roman"/>
          <w:sz w:val="26"/>
          <w:szCs w:val="26"/>
          <w:lang w:val="uk-UA" w:eastAsia="ru-RU"/>
        </w:rPr>
        <w:t>.</w:t>
      </w:r>
    </w:p>
    <w:p w14:paraId="51ED4D07"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Повноваження на здійснення господарської операції особи, яка в інтересах </w:t>
      </w:r>
      <w:r w:rsidR="00965A7D"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одержує основні засоби, запаси, нематеріальні активи, грошові документи, цінні папери та інші товарно-матеріальні цінності згідно з договором підтверджувати довіреністю, яку реєструвати в журналі реєстрації довіреностей.</w:t>
      </w:r>
    </w:p>
    <w:p w14:paraId="17B0F843"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Бухгалтерський облік виконання кошторису здійснюється в розрізі джерел фінансування.</w:t>
      </w:r>
    </w:p>
    <w:p w14:paraId="7B30D955"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Діяльність  за всіма джерелами фінансування (загальний та спеціальний фонд кошторису) відображається в єдиному балансі.</w:t>
      </w:r>
    </w:p>
    <w:p w14:paraId="1C0E9E86" w14:textId="77777777"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Фінансова та бюджетна звітність складається на підставі даних бухгалтерського обліку відповідно до ст. 58 Бюджетного Кодексу України (БКУ),  Порядку подання фінансової звітності, затвердженого постановою КМУ від 28.02.2000 року № 419 (зі змінами), інших нормативних актів. Звітність подається до  Управління державної казначейської служби України у </w:t>
      </w:r>
      <w:r w:rsidR="00965A7D" w:rsidRPr="00143D5A">
        <w:rPr>
          <w:rFonts w:eastAsia="Times New Roman" w:cs="Times New Roman"/>
          <w:sz w:val="26"/>
          <w:szCs w:val="26"/>
          <w:lang w:val="uk-UA" w:eastAsia="ru-RU"/>
        </w:rPr>
        <w:t>Дніпропетровській</w:t>
      </w:r>
      <w:r w:rsidRPr="00143D5A">
        <w:rPr>
          <w:rFonts w:eastAsia="Times New Roman" w:cs="Times New Roman"/>
          <w:sz w:val="26"/>
          <w:szCs w:val="26"/>
          <w:lang w:val="uk-UA" w:eastAsia="ru-RU"/>
        </w:rPr>
        <w:t xml:space="preserve"> області, та інших контролюючих органів.</w:t>
      </w:r>
    </w:p>
    <w:p w14:paraId="77E42BE8" w14:textId="77777777" w:rsidR="00912AA8" w:rsidRPr="00143D5A" w:rsidRDefault="00912AA8" w:rsidP="000C7BCE">
      <w:pPr>
        <w:shd w:val="clear" w:color="auto" w:fill="FFFFFF" w:themeFill="background1"/>
        <w:spacing w:after="0"/>
        <w:ind w:right="-285" w:firstLine="709"/>
        <w:jc w:val="both"/>
        <w:rPr>
          <w:rFonts w:eastAsia="Times New Roman" w:cs="Times New Roman"/>
          <w:sz w:val="26"/>
          <w:szCs w:val="26"/>
          <w:lang w:val="uk-UA" w:eastAsia="ru-RU"/>
        </w:rPr>
      </w:pPr>
    </w:p>
    <w:p w14:paraId="07754A16" w14:textId="77777777" w:rsidR="009974DD" w:rsidRPr="00143D5A" w:rsidRDefault="009974DD" w:rsidP="000C7BCE">
      <w:pPr>
        <w:numPr>
          <w:ilvl w:val="0"/>
          <w:numId w:val="3"/>
        </w:numPr>
        <w:shd w:val="clear" w:color="auto" w:fill="FFFFFF" w:themeFill="background1"/>
        <w:spacing w:after="0"/>
        <w:ind w:left="0" w:right="-285" w:firstLine="709"/>
        <w:jc w:val="center"/>
        <w:rPr>
          <w:rFonts w:eastAsia="Times New Roman" w:cs="Times New Roman"/>
          <w:sz w:val="26"/>
          <w:szCs w:val="26"/>
          <w:lang w:val="uk-UA" w:eastAsia="ru-RU"/>
        </w:rPr>
      </w:pPr>
      <w:r w:rsidRPr="00143D5A">
        <w:rPr>
          <w:rFonts w:eastAsia="Times New Roman" w:cs="Times New Roman"/>
          <w:bCs/>
          <w:caps/>
          <w:sz w:val="26"/>
          <w:szCs w:val="26"/>
          <w:lang w:val="uk-UA" w:eastAsia="ru-RU"/>
        </w:rPr>
        <w:t>Облік оплати праці</w:t>
      </w:r>
    </w:p>
    <w:p w14:paraId="39A7E990" w14:textId="77777777" w:rsidR="007E2A34" w:rsidRPr="00143D5A" w:rsidRDefault="007E2A34" w:rsidP="007E2A34">
      <w:pPr>
        <w:shd w:val="clear" w:color="auto" w:fill="FFFFFF" w:themeFill="background1"/>
        <w:spacing w:after="0"/>
        <w:ind w:left="709" w:right="-285"/>
        <w:rPr>
          <w:rFonts w:eastAsia="Times New Roman" w:cs="Times New Roman"/>
          <w:sz w:val="26"/>
          <w:szCs w:val="26"/>
          <w:lang w:val="uk-UA" w:eastAsia="ru-RU"/>
        </w:rPr>
      </w:pPr>
    </w:p>
    <w:p w14:paraId="79B7FC4C" w14:textId="77777777"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Оплату праці працівників здійснювати відповідно до умов, передбачених Законами України, Постановою Кабінету Міністрів України від 09.03.2006  р. № 268 «Про упорядкування структури та умов оплати праці апарату органів виконавчої влади, органів прокуратури, суддів та інших органів» (із змінами), Наказу Міністерства </w:t>
      </w:r>
      <w:r w:rsidR="004C7F06" w:rsidRPr="00143D5A">
        <w:rPr>
          <w:rFonts w:eastAsia="Times New Roman" w:cs="Times New Roman"/>
          <w:sz w:val="26"/>
          <w:szCs w:val="26"/>
          <w:lang w:val="uk-UA" w:eastAsia="ru-RU"/>
        </w:rPr>
        <w:t>розвитку економіки, то</w:t>
      </w:r>
      <w:r w:rsidR="00912AA8" w:rsidRPr="00143D5A">
        <w:rPr>
          <w:rFonts w:eastAsia="Times New Roman" w:cs="Times New Roman"/>
          <w:sz w:val="26"/>
          <w:szCs w:val="26"/>
          <w:lang w:val="uk-UA" w:eastAsia="ru-RU"/>
        </w:rPr>
        <w:t xml:space="preserve">ргівлі та сільського господарства України від </w:t>
      </w:r>
      <w:r w:rsidRPr="00143D5A">
        <w:rPr>
          <w:rFonts w:eastAsia="Times New Roman" w:cs="Times New Roman"/>
          <w:sz w:val="26"/>
          <w:szCs w:val="26"/>
          <w:lang w:val="uk-UA" w:eastAsia="ru-RU"/>
        </w:rPr>
        <w:t>2</w:t>
      </w:r>
      <w:r w:rsidR="00912AA8" w:rsidRPr="00143D5A">
        <w:rPr>
          <w:rFonts w:eastAsia="Times New Roman" w:cs="Times New Roman"/>
          <w:sz w:val="26"/>
          <w:szCs w:val="26"/>
          <w:lang w:val="uk-UA" w:eastAsia="ru-RU"/>
        </w:rPr>
        <w:t>3</w:t>
      </w:r>
      <w:r w:rsidRPr="00143D5A">
        <w:rPr>
          <w:rFonts w:eastAsia="Times New Roman" w:cs="Times New Roman"/>
          <w:sz w:val="26"/>
          <w:szCs w:val="26"/>
          <w:lang w:val="uk-UA" w:eastAsia="ru-RU"/>
        </w:rPr>
        <w:t>.0</w:t>
      </w:r>
      <w:r w:rsidR="00912AA8" w:rsidRPr="00143D5A">
        <w:rPr>
          <w:rFonts w:eastAsia="Times New Roman" w:cs="Times New Roman"/>
          <w:sz w:val="26"/>
          <w:szCs w:val="26"/>
          <w:lang w:val="uk-UA" w:eastAsia="ru-RU"/>
        </w:rPr>
        <w:t>3.2021</w:t>
      </w:r>
      <w:r w:rsidRPr="00143D5A">
        <w:rPr>
          <w:rFonts w:eastAsia="Times New Roman" w:cs="Times New Roman"/>
          <w:sz w:val="26"/>
          <w:szCs w:val="26"/>
          <w:lang w:val="uk-UA" w:eastAsia="ru-RU"/>
        </w:rPr>
        <w:t xml:space="preserve">  р. № </w:t>
      </w:r>
      <w:r w:rsidR="00912AA8" w:rsidRPr="00143D5A">
        <w:rPr>
          <w:rFonts w:eastAsia="Times New Roman" w:cs="Times New Roman"/>
          <w:sz w:val="26"/>
          <w:szCs w:val="26"/>
          <w:lang w:val="uk-UA" w:eastAsia="ru-RU"/>
        </w:rPr>
        <w:t>609</w:t>
      </w:r>
      <w:r w:rsidRPr="00143D5A">
        <w:rPr>
          <w:rFonts w:eastAsia="Times New Roman" w:cs="Times New Roman"/>
          <w:sz w:val="26"/>
          <w:szCs w:val="26"/>
          <w:lang w:val="uk-UA" w:eastAsia="ru-RU"/>
        </w:rPr>
        <w:t xml:space="preserve"> «</w:t>
      </w:r>
      <w:r w:rsidR="00912AA8" w:rsidRPr="00143D5A">
        <w:rPr>
          <w:rStyle w:val="rvts23"/>
          <w:sz w:val="26"/>
          <w:szCs w:val="26"/>
          <w:lang w:val="uk-UA"/>
        </w:rPr>
        <w:t>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143D5A">
        <w:rPr>
          <w:rFonts w:eastAsia="Times New Roman" w:cs="Times New Roman"/>
          <w:sz w:val="26"/>
          <w:szCs w:val="26"/>
          <w:lang w:val="uk-UA" w:eastAsia="ru-RU"/>
        </w:rPr>
        <w:t xml:space="preserve">» та інших нормативно-правових документів, </w:t>
      </w:r>
      <w:r w:rsidRPr="00143D5A">
        <w:rPr>
          <w:rFonts w:eastAsia="Times New Roman" w:cs="Times New Roman"/>
          <w:sz w:val="26"/>
          <w:szCs w:val="26"/>
          <w:lang w:val="uk-UA" w:eastAsia="ru-RU"/>
        </w:rPr>
        <w:lastRenderedPageBreak/>
        <w:t>Постановою Кабінету Міністрів України  від 26.09.2001 р. № 1266 «Про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(із змінами).</w:t>
      </w:r>
    </w:p>
    <w:p w14:paraId="2256D849" w14:textId="77777777"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Утримання, нарахування та перерахування податків, зборів та платежів до бюджетів усіх рівнів здійснювати у відповідності з чинним законодавством.</w:t>
      </w:r>
    </w:p>
    <w:p w14:paraId="78B438EA" w14:textId="77777777"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Виплату  заробітної плати працівникам за першу половину місяця в розмірі не менше 50% посадового окладу (тарифної ставки) за фактично відпрацьований час проводити  1</w:t>
      </w:r>
      <w:r w:rsidR="00965A7D" w:rsidRPr="00143D5A">
        <w:rPr>
          <w:rFonts w:eastAsia="Times New Roman" w:cs="Times New Roman"/>
          <w:sz w:val="26"/>
          <w:szCs w:val="26"/>
          <w:lang w:val="uk-UA" w:eastAsia="ru-RU"/>
        </w:rPr>
        <w:t>6</w:t>
      </w:r>
      <w:r w:rsidRPr="00143D5A">
        <w:rPr>
          <w:rFonts w:eastAsia="Times New Roman" w:cs="Times New Roman"/>
          <w:sz w:val="26"/>
          <w:szCs w:val="26"/>
          <w:lang w:val="uk-UA" w:eastAsia="ru-RU"/>
        </w:rPr>
        <w:t xml:space="preserve"> числа поточного місяця, за другу половину місяця  - </w:t>
      </w:r>
      <w:r w:rsidR="005D2340">
        <w:rPr>
          <w:rFonts w:eastAsia="Times New Roman" w:cs="Times New Roman"/>
          <w:sz w:val="26"/>
          <w:szCs w:val="26"/>
          <w:lang w:val="uk-UA" w:eastAsia="ru-RU"/>
        </w:rPr>
        <w:t>02</w:t>
      </w:r>
      <w:r w:rsidRPr="00143D5A">
        <w:rPr>
          <w:rFonts w:eastAsia="Times New Roman" w:cs="Times New Roman"/>
          <w:sz w:val="26"/>
          <w:szCs w:val="26"/>
          <w:lang w:val="uk-UA" w:eastAsia="ru-RU"/>
        </w:rPr>
        <w:t xml:space="preserve"> числа </w:t>
      </w:r>
      <w:r w:rsidR="005D2340">
        <w:rPr>
          <w:rFonts w:eastAsia="Times New Roman" w:cs="Times New Roman"/>
          <w:sz w:val="26"/>
          <w:szCs w:val="26"/>
          <w:lang w:val="uk-UA" w:eastAsia="ru-RU"/>
        </w:rPr>
        <w:t>наступного</w:t>
      </w:r>
      <w:r w:rsidRPr="00143D5A">
        <w:rPr>
          <w:rFonts w:eastAsia="Times New Roman" w:cs="Times New Roman"/>
          <w:sz w:val="26"/>
          <w:szCs w:val="26"/>
          <w:lang w:val="uk-UA" w:eastAsia="ru-RU"/>
        </w:rPr>
        <w:t xml:space="preserve"> місяця. Термін здачі табелів обліку робочого часу до 2</w:t>
      </w:r>
      <w:r w:rsidR="00965A7D" w:rsidRPr="00143D5A">
        <w:rPr>
          <w:rFonts w:eastAsia="Times New Roman" w:cs="Times New Roman"/>
          <w:sz w:val="26"/>
          <w:szCs w:val="26"/>
          <w:lang w:val="uk-UA" w:eastAsia="ru-RU"/>
        </w:rPr>
        <w:t>8</w:t>
      </w:r>
      <w:r w:rsidRPr="00143D5A">
        <w:rPr>
          <w:rFonts w:eastAsia="Times New Roman" w:cs="Times New Roman"/>
          <w:sz w:val="26"/>
          <w:szCs w:val="26"/>
          <w:lang w:val="uk-UA" w:eastAsia="ru-RU"/>
        </w:rPr>
        <w:t xml:space="preserve"> числа поточного місяця.</w:t>
      </w:r>
    </w:p>
    <w:p w14:paraId="34F86564" w14:textId="77777777" w:rsidR="009974DD" w:rsidRPr="00143D5A" w:rsidRDefault="004374CB"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3.4 </w:t>
      </w:r>
      <w:r w:rsidR="009974DD" w:rsidRPr="00143D5A">
        <w:rPr>
          <w:rFonts w:eastAsia="Times New Roman" w:cs="Times New Roman"/>
          <w:sz w:val="26"/>
          <w:szCs w:val="26"/>
          <w:lang w:val="uk-UA" w:eastAsia="ru-RU"/>
        </w:rPr>
        <w:t xml:space="preserve">Облік розрахунків з оплати праці здійснювати в меморіальному ордері №5 «Зведення розрахункових відомостей із заробітної плати та стипендій». </w:t>
      </w:r>
    </w:p>
    <w:p w14:paraId="385674E3" w14:textId="77777777" w:rsidR="009974DD" w:rsidRPr="00143D5A" w:rsidRDefault="009974DD" w:rsidP="000C7BCE">
      <w:pPr>
        <w:pStyle w:val="a6"/>
        <w:numPr>
          <w:ilvl w:val="1"/>
          <w:numId w:val="19"/>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Всі розрахунки з працівниками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з оплати праці проводяться через їх особові поточні рахунки, операції за якими можуть здійснюватися з використанням електронних платіжних засобів, відкриті в установі банку, з якою установою укладено договір на розрахунково-касове обслуговування по видачі заробітної плати з використанням платіжних карток.</w:t>
      </w:r>
    </w:p>
    <w:p w14:paraId="67CEEDD9" w14:textId="77777777" w:rsidR="009974DD" w:rsidRPr="00143D5A" w:rsidRDefault="009974DD" w:rsidP="000C7BCE">
      <w:pPr>
        <w:pStyle w:val="a6"/>
        <w:numPr>
          <w:ilvl w:val="1"/>
          <w:numId w:val="19"/>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робочого часу використовується Табель обліку використання робочого часу. Неточності в Табелі обліку робочого часу, пов’язані із завчасною подачею табелів (не в останній робочий день місяця), виправляються через оформлення додаткових (уточнюючих) табелів за минулий місяць.</w:t>
      </w:r>
    </w:p>
    <w:p w14:paraId="08877F51" w14:textId="77777777" w:rsidR="00912AA8" w:rsidRPr="00143D5A" w:rsidRDefault="00912AA8" w:rsidP="000C7BCE">
      <w:pPr>
        <w:shd w:val="clear" w:color="auto" w:fill="FFFFFF" w:themeFill="background1"/>
        <w:spacing w:after="0"/>
        <w:ind w:right="-285" w:firstLine="709"/>
        <w:jc w:val="both"/>
        <w:rPr>
          <w:rFonts w:eastAsia="Times New Roman" w:cs="Times New Roman"/>
          <w:sz w:val="26"/>
          <w:szCs w:val="26"/>
          <w:lang w:val="uk-UA" w:eastAsia="ru-RU"/>
        </w:rPr>
      </w:pPr>
    </w:p>
    <w:p w14:paraId="512C05F7" w14:textId="77777777" w:rsidR="00912AA8" w:rsidRPr="00143D5A" w:rsidRDefault="009974DD" w:rsidP="000C7BCE">
      <w:pPr>
        <w:pStyle w:val="a6"/>
        <w:numPr>
          <w:ilvl w:val="0"/>
          <w:numId w:val="3"/>
        </w:numPr>
        <w:shd w:val="clear" w:color="auto" w:fill="FFFFFF" w:themeFill="background1"/>
        <w:spacing w:after="0"/>
        <w:ind w:left="0" w:right="-285" w:firstLine="709"/>
        <w:jc w:val="center"/>
        <w:rPr>
          <w:rFonts w:eastAsia="Times New Roman" w:cs="Times New Roman"/>
          <w:sz w:val="26"/>
          <w:szCs w:val="26"/>
          <w:lang w:val="uk-UA" w:eastAsia="ru-RU"/>
        </w:rPr>
      </w:pPr>
      <w:r w:rsidRPr="00143D5A">
        <w:rPr>
          <w:rFonts w:eastAsia="Times New Roman" w:cs="Times New Roman"/>
          <w:bCs/>
          <w:caps/>
          <w:sz w:val="26"/>
          <w:szCs w:val="26"/>
          <w:lang w:val="uk-UA" w:eastAsia="ru-RU"/>
        </w:rPr>
        <w:t>Облік доходів, видатків та розрахунків</w:t>
      </w:r>
    </w:p>
    <w:p w14:paraId="20EDAFC5" w14:textId="77777777" w:rsidR="00965A7D" w:rsidRPr="00143D5A" w:rsidRDefault="00965A7D" w:rsidP="00965A7D">
      <w:pPr>
        <w:pStyle w:val="a6"/>
        <w:shd w:val="clear" w:color="auto" w:fill="FFFFFF" w:themeFill="background1"/>
        <w:spacing w:after="0"/>
        <w:ind w:left="709" w:right="-285"/>
        <w:rPr>
          <w:rFonts w:eastAsia="Times New Roman" w:cs="Times New Roman"/>
          <w:sz w:val="26"/>
          <w:szCs w:val="26"/>
          <w:lang w:val="uk-UA" w:eastAsia="ru-RU"/>
        </w:rPr>
      </w:pPr>
    </w:p>
    <w:p w14:paraId="597CE6A4"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4.1 Облік доходів, які в кошторисі відносяться до доходів загального фонду бюджету, ведеться на субрахунку 7011 "Бюджетні асигнування ".</w:t>
      </w:r>
    </w:p>
    <w:p w14:paraId="27A905C2"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 доходів, які установа отримує за спеціальним фондом, здійснюється на субрахунку 7111 "Доходи від реалізації продукції (робіт, послуг)», що надаються (виконуються) згідно із законодавством.</w:t>
      </w:r>
    </w:p>
    <w:p w14:paraId="1A4EB7B3"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4.2 Касові видатки відображаються в обліку в момент одержання наявних коштів або перерахування коштів з поточного бюджетного рахунку. Синтетичний облік касових видатків ведеться на рахунку 2313 "Реєстраційні рахунки".</w:t>
      </w:r>
    </w:p>
    <w:p w14:paraId="58EA07CC"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4.3  Фактичні видатки відображаються в обліку в момент здійснення на підставі актів списання, накладних, актів виконаних робіт тощо.</w:t>
      </w:r>
    </w:p>
    <w:p w14:paraId="2539F8AC"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Синтетичний облік фактичних видатків ведеться на субрахунку 8011 "Витрати на оплату праці", 8012 «Відрахуванн</w:t>
      </w:r>
      <w:r w:rsidR="008A4858" w:rsidRPr="00143D5A">
        <w:rPr>
          <w:rFonts w:eastAsia="Times New Roman" w:cs="Times New Roman"/>
          <w:sz w:val="26"/>
          <w:szCs w:val="26"/>
          <w:lang w:val="uk-UA" w:eastAsia="ru-RU"/>
        </w:rPr>
        <w:t>я на соціальні заходи»,</w:t>
      </w:r>
      <w:r w:rsidRPr="00143D5A">
        <w:rPr>
          <w:rFonts w:eastAsia="Times New Roman" w:cs="Times New Roman"/>
          <w:sz w:val="26"/>
          <w:szCs w:val="26"/>
          <w:lang w:val="uk-UA" w:eastAsia="ru-RU"/>
        </w:rPr>
        <w:t>   8013 "Матеріальні витрати", 8014 «Амортизація».</w:t>
      </w:r>
    </w:p>
    <w:p w14:paraId="3C05B6FA"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4.4  Для аналітичного обліку фактичних видатків використовується Картка аналітичного обліку фактичних видатків за формою, затвердженою наказом Міністерства фінансів України від 29.06.2017 року № 604</w:t>
      </w: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Про затвердження форм карток і книг аналітичного обліку суб’єктів державного сектору та порядку їх складання».</w:t>
      </w:r>
    </w:p>
    <w:p w14:paraId="42495C27"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4.5  За кожним КВК, за загальним та спеціальним фондами складаються окремі картки в розрізі КЕКВ.</w:t>
      </w:r>
    </w:p>
    <w:p w14:paraId="13611B03"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4.6  Аналітичний облік розрахунків з усіма дебіторами та кредиторами ведеться в меморіальному ордері  № 6 по кожному КВК у розрізі КЕКВ та окремо по постачальникам або замовникам товарів, робіт і послуг.</w:t>
      </w:r>
    </w:p>
    <w:p w14:paraId="0F560993"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14:paraId="72BA0AD1" w14:textId="77777777" w:rsidR="009974DD" w:rsidRPr="00143D5A" w:rsidRDefault="009974DD" w:rsidP="007E2A34">
      <w:pPr>
        <w:pStyle w:val="a6"/>
        <w:numPr>
          <w:ilvl w:val="0"/>
          <w:numId w:val="3"/>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t>Облік підзвітних сум</w:t>
      </w:r>
    </w:p>
    <w:p w14:paraId="663DD987" w14:textId="77777777" w:rsidR="00965A7D" w:rsidRPr="00143D5A" w:rsidRDefault="00965A7D" w:rsidP="000C7BCE">
      <w:pPr>
        <w:shd w:val="clear" w:color="auto" w:fill="FFFFFF" w:themeFill="background1"/>
        <w:spacing w:after="0"/>
        <w:ind w:right="-285" w:firstLine="709"/>
        <w:jc w:val="center"/>
        <w:rPr>
          <w:rFonts w:eastAsia="Times New Roman" w:cs="Times New Roman"/>
          <w:caps/>
          <w:sz w:val="26"/>
          <w:szCs w:val="26"/>
          <w:lang w:val="uk-UA" w:eastAsia="ru-RU"/>
        </w:rPr>
      </w:pPr>
    </w:p>
    <w:p w14:paraId="6DCEF591"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Службовим відрядженням вважається поїздка за розпорядженням </w:t>
      </w:r>
      <w:r w:rsidR="008F2770"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на певний термін до іншого населеного пункту для виконання </w:t>
      </w:r>
      <w:r w:rsidRPr="00143D5A">
        <w:rPr>
          <w:rFonts w:eastAsia="Times New Roman" w:cs="Times New Roman"/>
          <w:sz w:val="26"/>
          <w:szCs w:val="26"/>
          <w:lang w:val="uk-UA" w:eastAsia="ru-RU"/>
        </w:rPr>
        <w:lastRenderedPageBreak/>
        <w:t>службового доручення. У розпорядженні зазначається пункт, мета та термін відрядження, відшкодування фактичних витрат проїзду, проживання і добових (при наявності асигнувань, затверджених кошторисом на поточний рік).</w:t>
      </w:r>
    </w:p>
    <w:p w14:paraId="37AFC099"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Витрати на відрядження здійснюються у межах сум, необхідних для оплати проїзду, добових у розмірах, що відповідають нормам, установленим постановою Кабінету Міністрів України від 02.02.2011 року № 98  "Про суми та склад витрат на відрядження державних службовців, а також інших осіб, що направляється у відрядження підприємствами, установами та організаціями, які повністю або частково утримуються (фінансуються) за рахунок бюджетних коштів" (із змінами).</w:t>
      </w:r>
    </w:p>
    <w:p w14:paraId="6C7C9069"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Рух підзвітних сум відображається в меморіальному ордері № 8 "Накопичувальна відомість за розрахунками з підзвітними особами" у розрізі КЕКВ. Облік операцій із розрахунків із підзвітними особами, які здійснюються за рахунок коштів спеціального фонду, ведеться в окремому ордері за такою ж формою.</w:t>
      </w:r>
    </w:p>
    <w:p w14:paraId="01BCFC64"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Звіт про відрядження подавати до відділу бухгалтерського обліку та звітності за формою, затвердженою наказом Міністерства доходів і зборів України «Про затвердження форми Звіту про використання коштів, виданих на відрядження або під звіт, та Порядку його складання» від 28.09.2015 р. № 841, подається до закінчення п’ятого банківського дня, що настає за днем, у якому платник податку завершує таке відрядження або завершує виконання окремої цивільно-правової дії за дорученням та за рахунок податкового агента платника податку, що надав кошти під звіт.</w:t>
      </w:r>
    </w:p>
    <w:p w14:paraId="4A2B3FB3"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Суму добових визначати згідно з розпорядженням про відрядження, звіт про відрядження та відповідними первинними документами, що посвідчує перебування працівника у відрядженні, тощо.</w:t>
      </w:r>
    </w:p>
    <w:p w14:paraId="783798C8"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Якщо працівник відбуває у відрядження у вихідний день, то йому після  повернення  з  відрядження  в  установленому  порядку надавати  інший день відпочинку.</w:t>
      </w:r>
    </w:p>
    <w:p w14:paraId="07ED30F0"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 кожний день (включаючи день вибуття та день прибуття) перебування працівника у відрядженні в межах України, враховуючи вихідні, святкові й неробочі дні та час перебування в дорозі (разом з вимушеними зупинками), йому виплачуються добові в межах сум, затверджених постановою Кабінету Міністрів України від 02.02.2011</w:t>
      </w:r>
      <w:hyperlink r:id="rId7" w:history="1">
        <w:r w:rsidRPr="00143D5A">
          <w:rPr>
            <w:rFonts w:eastAsia="Times New Roman" w:cs="Times New Roman"/>
            <w:sz w:val="26"/>
            <w:szCs w:val="26"/>
            <w:lang w:val="uk-UA" w:eastAsia="ru-RU"/>
          </w:rPr>
          <w:t>№ 98</w:t>
        </w:r>
      </w:hyperlink>
      <w:r w:rsidRPr="00143D5A">
        <w:rPr>
          <w:rFonts w:eastAsia="Times New Roman" w:cs="Times New Roman"/>
          <w:sz w:val="26"/>
          <w:szCs w:val="26"/>
          <w:lang w:val="uk-UA" w:eastAsia="ru-RU"/>
        </w:rPr>
        <w:t>(із змінами)</w:t>
      </w:r>
      <w:r w:rsidR="008F2770" w:rsidRPr="00143D5A">
        <w:rPr>
          <w:rFonts w:eastAsia="Times New Roman" w:cs="Times New Roman"/>
          <w:sz w:val="26"/>
          <w:szCs w:val="26"/>
          <w:lang w:val="uk-UA" w:eastAsia="ru-RU"/>
        </w:rPr>
        <w:t>.</w:t>
      </w:r>
    </w:p>
    <w:p w14:paraId="317B1977"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Визначення кількості днів відрядження для виплати добових проводиться з урахуванням дня вибуття у відрядження й дня прибуття до місця постійної роботи, що зараховуються як два дні.</w:t>
      </w:r>
    </w:p>
    <w:p w14:paraId="5A8CBF7F"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При відрядженні працівника строком на один день або в таку місцевість, звідки працівник має змогу щоденно повертатися до місця постійного проживання, добові відшкодовуються як за повну добу.</w:t>
      </w:r>
    </w:p>
    <w:p w14:paraId="649B6019"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 разі відсутності проїзних квитків компенсація проїзду не проводиться.</w:t>
      </w:r>
    </w:p>
    <w:p w14:paraId="37C28DAD" w14:textId="77777777"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Заробітна плата працівникам за час відрядження виплачується з дотриманням вимог статті 121 КЗпП України в розмірі не менше середнього заробітку. Якщо заробітна плата в місяці відрядження в розрахунку на день буде більша, ніж середня заробітна плата за два попередні місяці, то дні відрядження оплачуються як звичайні робочі дні.</w:t>
      </w:r>
    </w:p>
    <w:p w14:paraId="3DC20395" w14:textId="77777777" w:rsidR="0098369A" w:rsidRPr="00143D5A" w:rsidRDefault="0098369A" w:rsidP="000C7BCE">
      <w:pPr>
        <w:pStyle w:val="a6"/>
        <w:shd w:val="clear" w:color="auto" w:fill="FFFFFF" w:themeFill="background1"/>
        <w:spacing w:after="0"/>
        <w:ind w:left="0" w:right="-285" w:firstLine="709"/>
        <w:jc w:val="both"/>
        <w:rPr>
          <w:rFonts w:eastAsia="Times New Roman" w:cs="Times New Roman"/>
          <w:sz w:val="26"/>
          <w:szCs w:val="26"/>
          <w:lang w:val="uk-UA" w:eastAsia="ru-RU"/>
        </w:rPr>
      </w:pPr>
    </w:p>
    <w:p w14:paraId="57104DE2" w14:textId="77777777" w:rsidR="009974DD" w:rsidRPr="00143D5A" w:rsidRDefault="009974DD" w:rsidP="000C7BCE">
      <w:pPr>
        <w:numPr>
          <w:ilvl w:val="0"/>
          <w:numId w:val="4"/>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Використання службових автомобілів.</w:t>
      </w:r>
    </w:p>
    <w:p w14:paraId="2788C061" w14:textId="77777777" w:rsidR="00CA4CFB" w:rsidRPr="00143D5A" w:rsidRDefault="00CA4CFB" w:rsidP="00CA4CFB">
      <w:pPr>
        <w:shd w:val="clear" w:color="auto" w:fill="FFFFFF" w:themeFill="background1"/>
        <w:spacing w:after="0"/>
        <w:ind w:left="709" w:right="-285"/>
        <w:rPr>
          <w:rFonts w:eastAsia="Times New Roman" w:cs="Times New Roman"/>
          <w:caps/>
          <w:sz w:val="26"/>
          <w:szCs w:val="26"/>
          <w:lang w:val="uk-UA" w:eastAsia="ru-RU"/>
        </w:rPr>
      </w:pPr>
    </w:p>
    <w:p w14:paraId="44490495" w14:textId="77777777" w:rsidR="008A4858"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6.1 Забезпечити безумовне дотримання вимог постанови Кабінету Міністрів України від 04.06.2003 р. № 848 «Про впорядкування використання легкових автомобілів бюджетними установами та організаціями» щодо економного витрачання бюджетних коштів на утримання автомобілів та використання пального.</w:t>
      </w:r>
    </w:p>
    <w:p w14:paraId="40419C93" w14:textId="77777777" w:rsidR="008A4858"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6.2 Подорожні листи своєчасно і в належному стані, із вказаним пробігом та витратою паливно-мастильних матеріалів, щоденно здавати до відділу бухгалтерського обліку та звітності при отриманні нового подорожнього листа.</w:t>
      </w:r>
    </w:p>
    <w:p w14:paraId="30208214" w14:textId="77777777" w:rsidR="008F2770"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6.3 Відділу обліку та звітності забезпечити облік витрат паливно-мастильних матеріалів.</w:t>
      </w:r>
    </w:p>
    <w:p w14:paraId="6A2B0876" w14:textId="77777777"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6.4 Облік талонів (скретч-картки) на пальне обліковувати згідно Плану рахунків, затвердженого наказом Мінфіну від 31.12.13 р. № 1203.</w:t>
      </w:r>
    </w:p>
    <w:p w14:paraId="0FF096D9" w14:textId="77777777"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6.5 У разі якщо установами застосовуються смарт-картки при отриманні палива, пального і мастильних матеріалів, відображення в обліку придбання палива, пального і мастильних матеріалів здійснюється у порядку відображення операцій з придбання цих матеріалів за талонами. Вартість самої смарт-картки обліковується у порядку, визначеному для малоцінних і швидкозношуваних предметів.</w:t>
      </w:r>
    </w:p>
    <w:p w14:paraId="1BD7BF9A" w14:textId="77777777"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6.6 Облік наробітку та відстеження акумуляторних батарей проводити відповідно до Правил експлуатування акумуляторних стартерних батарей колісних транспортних засобів і спеціальних машин, виконаних на колісних шасі, затверджених наказом Мінт</w:t>
      </w:r>
      <w:r w:rsidR="008F2770" w:rsidRPr="00143D5A">
        <w:rPr>
          <w:rFonts w:eastAsia="Times New Roman" w:cs="Times New Roman"/>
          <w:sz w:val="26"/>
          <w:szCs w:val="26"/>
          <w:lang w:val="uk-UA" w:eastAsia="ru-RU"/>
        </w:rPr>
        <w:t>рансзв</w:t>
      </w:r>
      <w:r w:rsidRPr="00143D5A">
        <w:rPr>
          <w:rFonts w:eastAsia="Times New Roman" w:cs="Times New Roman"/>
          <w:sz w:val="26"/>
          <w:szCs w:val="26"/>
          <w:lang w:val="uk-UA" w:eastAsia="ru-RU"/>
        </w:rPr>
        <w:t>язку від 02.07.2008 р. № 795.</w:t>
      </w:r>
    </w:p>
    <w:p w14:paraId="3EDE3656" w14:textId="77777777"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6.7 Облік роботи автомобільних шин вести відповідно до Експлуатаційних норм середнього ресурсу пневматичних шин колісних транспортних засобів і спеціальних машин, виконаних на колісних шасі, затверджених наказом Міністерства транспорту та зв'язку України від 20 травня 2006 року № 489.</w:t>
      </w:r>
    </w:p>
    <w:p w14:paraId="6DD74E57" w14:textId="77777777" w:rsidR="009974DD"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6.8 Облік пробігу та контроль за використанням паливно-мастильних матеріалів, списання шин та періодичність проведення технічного обслуговування і ремонт службових автомобілів здійснюється на підставі даних Подорожніх листів службового автомобіля.</w:t>
      </w:r>
    </w:p>
    <w:p w14:paraId="77E55C48" w14:textId="77777777" w:rsidR="00670CDC" w:rsidRPr="00143D5A" w:rsidRDefault="00670CDC" w:rsidP="000C7BCE">
      <w:pPr>
        <w:shd w:val="clear" w:color="auto" w:fill="FFFFFF" w:themeFill="background1"/>
        <w:spacing w:after="0"/>
        <w:ind w:right="-285" w:firstLine="709"/>
        <w:jc w:val="both"/>
        <w:outlineLvl w:val="1"/>
        <w:rPr>
          <w:rFonts w:eastAsia="Times New Roman" w:cs="Times New Roman"/>
          <w:sz w:val="26"/>
          <w:szCs w:val="26"/>
          <w:lang w:val="uk-UA" w:eastAsia="ru-RU"/>
        </w:rPr>
      </w:pPr>
    </w:p>
    <w:p w14:paraId="35123FF3" w14:textId="77777777" w:rsidR="009974DD" w:rsidRPr="00143D5A" w:rsidRDefault="009974DD" w:rsidP="000C7BCE">
      <w:pPr>
        <w:numPr>
          <w:ilvl w:val="0"/>
          <w:numId w:val="5"/>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Облік необоротних активів</w:t>
      </w:r>
    </w:p>
    <w:p w14:paraId="182C289E" w14:textId="77777777"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14:paraId="711EF8F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7.1 Облік основних засобів та необоротних активів здійснюється відповідно до наказу   Міністерства   фінансів   України    від    20.07.2020 року № 432 «Про внесення зміни до Національного положення (стандарту) бухгалтерського обліку в державному секторі 121 «Основні засоби»  та Методичних рекомендацій з бухгалтерського обліку основних засобів суб’єктів державного сектору, затверджених наказом Міністерством фінансів України від 23.01.2015 р. № 11(із змінами).</w:t>
      </w:r>
    </w:p>
    <w:p w14:paraId="4C42AF3E"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 Необоротні активи, які були віднесені до складу основних засобів та нематеріальних активів до набрання чинності НП(С)БО 121 «Основні засоби» та НП(С)БО 122 «Нематеріальні активи», обліковувати у складі основних засобів та нематеріальних активів до їх вибуття (списання) з обліку установи.</w:t>
      </w:r>
    </w:p>
    <w:p w14:paraId="3549B351"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7.3 Встановити, що до основних засобів належать матеріальні активи, які утримує установа для використання їх у діяльності, очікуваний строк корисного використання яких більше одного року.</w:t>
      </w:r>
    </w:p>
    <w:p w14:paraId="67710370"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7.4 Типові строки корисного використання основних засобів та нематеріальних активів суб'єктів державного сектору наведені в додатку  №1. </w:t>
      </w:r>
    </w:p>
    <w:p w14:paraId="759DD7C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7.5  Критерії для віднесення активу до основних засобів:</w:t>
      </w:r>
    </w:p>
    <w:p w14:paraId="436C8D78" w14:textId="77777777" w:rsidR="009974DD" w:rsidRPr="00143D5A" w:rsidRDefault="009974DD" w:rsidP="000C7BCE">
      <w:pPr>
        <w:numPr>
          <w:ilvl w:val="0"/>
          <w:numId w:val="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Строк корисного використання – перевищує один рік (є очікуваним періодом часу, протягом якого актив використовуватиметься)</w:t>
      </w:r>
    </w:p>
    <w:p w14:paraId="367BFED9" w14:textId="77777777" w:rsidR="009974DD" w:rsidRPr="00143D5A" w:rsidRDefault="009974DD" w:rsidP="000C7BCE">
      <w:pPr>
        <w:numPr>
          <w:ilvl w:val="0"/>
          <w:numId w:val="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Вартість за одиницю – понад </w:t>
      </w:r>
      <w:r w:rsidR="007E2A34" w:rsidRPr="00143D5A">
        <w:rPr>
          <w:rFonts w:eastAsia="Times New Roman" w:cs="Times New Roman"/>
          <w:sz w:val="26"/>
          <w:szCs w:val="26"/>
          <w:lang w:val="uk-UA" w:eastAsia="ru-RU"/>
        </w:rPr>
        <w:t>20</w:t>
      </w:r>
      <w:r w:rsidRPr="00143D5A">
        <w:rPr>
          <w:rFonts w:eastAsia="Times New Roman" w:cs="Times New Roman"/>
          <w:sz w:val="26"/>
          <w:szCs w:val="26"/>
          <w:lang w:val="uk-UA" w:eastAsia="ru-RU"/>
        </w:rPr>
        <w:t> 000,00 грн. (без урахування податку на додану вартість).</w:t>
      </w:r>
    </w:p>
    <w:p w14:paraId="4DECA4E5"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7.6 Критерії для віднесення до інших малоцінних необоротних активів :</w:t>
      </w:r>
    </w:p>
    <w:p w14:paraId="0A7ECBC6" w14:textId="77777777" w:rsidR="009974DD" w:rsidRPr="00143D5A" w:rsidRDefault="009974DD" w:rsidP="000C7BCE">
      <w:pPr>
        <w:numPr>
          <w:ilvl w:val="0"/>
          <w:numId w:val="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Вартість за одиницю – не має перевищувати </w:t>
      </w:r>
      <w:r w:rsidR="007E2A34" w:rsidRPr="00143D5A">
        <w:rPr>
          <w:rFonts w:eastAsia="Times New Roman" w:cs="Times New Roman"/>
          <w:sz w:val="26"/>
          <w:szCs w:val="26"/>
          <w:lang w:val="uk-UA" w:eastAsia="ru-RU"/>
        </w:rPr>
        <w:t>20</w:t>
      </w:r>
      <w:r w:rsidRPr="00143D5A">
        <w:rPr>
          <w:rFonts w:eastAsia="Times New Roman" w:cs="Times New Roman"/>
          <w:sz w:val="26"/>
          <w:szCs w:val="26"/>
          <w:lang w:val="uk-UA" w:eastAsia="ru-RU"/>
        </w:rPr>
        <w:t xml:space="preserve"> 000,00 грн. включно за одиницю(комплект) (без урахування ПДВ);</w:t>
      </w:r>
    </w:p>
    <w:p w14:paraId="3D5C1198" w14:textId="77777777" w:rsidR="009974DD" w:rsidRPr="00143D5A" w:rsidRDefault="009974DD" w:rsidP="000C7BCE">
      <w:pPr>
        <w:numPr>
          <w:ilvl w:val="0"/>
          <w:numId w:val="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Термін експлуатації яких більше одного року.</w:t>
      </w:r>
    </w:p>
    <w:p w14:paraId="101BC392"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 7.7 Нематеріальні активи для взяття на облік повинні бути закінченими та засвідченими відповідними документами (патентом, сертифікатом, ліцензією тощо) у порядку, встановленому законодавством.</w:t>
      </w:r>
    </w:p>
    <w:p w14:paraId="142A793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7.8 На облік у складі нематеріальних активів беруться придбані права на володіння, користування та розпорядження об'єктом нематеріальних активів після відчуження їх (прав) від колишніх власників та визначення його вартості .</w:t>
      </w:r>
    </w:p>
    <w:p w14:paraId="3C7980F5"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7.9 Придбаний об'єкт авторського права на умовах користування ним, без передання прав на володіння або розпорядження, не обліковується у складі нематеріальних активів. Витрати, пов'язані з придбанням (створенням) таких об'єктів, визнаються витратами того звітного періоду, протягом якого вони були здійснені, без визнання таких витрат у майбутньому нематеріальним активом.</w:t>
      </w:r>
    </w:p>
    <w:p w14:paraId="1C551D82"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7.10 Норми нарахування зносу та строки корисного використання об'єктів нематеріальних активів визначаються, виходячи зі строку дії патенту, свідоцтва та інших обмежень строків використання об'єктів інтелектуальної власності відповідно до законодавства. На нематеріальні активи, строк корисного використання яких не визначений, знос не нараховується.</w:t>
      </w:r>
    </w:p>
    <w:p w14:paraId="0859CA4A"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7.11 Після первісного визнання об’єкта основних засобів, як активу, облік здійснювати за первісною вартістю в гривнях без копійок.</w:t>
      </w:r>
    </w:p>
    <w:p w14:paraId="77B225FD"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7.12 Дані про змінені техніко-економічні характеристики (вартість, потужність, площа тощо) в результаті поліпшення заносяться в інвентарні картки або інші регістри аналітичного обліку відповідних об'єктів основних засобів.</w:t>
      </w:r>
    </w:p>
    <w:p w14:paraId="08684217"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7.13 Визнання об'єкта основних засобів активом припиняється у разі його ліквідації, вибуття внаслідок продажу, передачі без оплати або невідповідності критеріям визнання активом.</w:t>
      </w:r>
    </w:p>
    <w:p w14:paraId="22BC247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7.14 У разі вибуття об'єкта основних засобів з балансу списуються його первісна (переоцінена), балансова вартість та сума накопиченого зносу.</w:t>
      </w:r>
    </w:p>
    <w:p w14:paraId="26D03809"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7.15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основних засобів, оприбутковуються з відображенням на рахунках бухгалтерського обліку запасів.</w:t>
      </w:r>
    </w:p>
    <w:p w14:paraId="1D027156"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7.16 Непридатні для використання вузли, деталі, матеріали та агрегати оприбутковуються як вторинна сировина (металобрухт тощо).</w:t>
      </w:r>
    </w:p>
    <w:p w14:paraId="01C2AF56"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7.17 Сума оприбуткованих матеріалів, отриманих від ліквідації та розбирання необоротних активів, які залишені для ремонту та інших потреб установи, визнається доходом спеціального фонду.</w:t>
      </w:r>
    </w:p>
    <w:p w14:paraId="24CD2779"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7.18 Благодійні внески, гранти та дарунки відносяться до першої підгрупи другої групи власних надходжень установи.</w:t>
      </w:r>
    </w:p>
    <w:p w14:paraId="6D700D65"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7.19 Первісною вартістю основних засобів, отриманих безоплатно від фізичних та юридичних осіб, є їх справедлива вартість на дату отримання з урахуванням витрат.</w:t>
      </w:r>
    </w:p>
    <w:p w14:paraId="7EBED49F"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7.20 Основні засоби, отримані безоплатно у вигляді безповоротної допомоги, дарунка, приймаються комісією, затвердженою рішенням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до складу якої обов'язково входить працівник </w:t>
      </w:r>
      <w:r w:rsidR="00B66055">
        <w:rPr>
          <w:rFonts w:eastAsia="Times New Roman" w:cs="Times New Roman"/>
          <w:sz w:val="26"/>
          <w:szCs w:val="26"/>
          <w:lang w:val="uk-UA" w:eastAsia="ru-RU"/>
        </w:rPr>
        <w:t xml:space="preserve"> фінансового відділу та </w:t>
      </w:r>
      <w:r w:rsidRPr="00143D5A">
        <w:rPr>
          <w:rFonts w:eastAsia="Times New Roman" w:cs="Times New Roman"/>
          <w:sz w:val="26"/>
          <w:szCs w:val="26"/>
          <w:lang w:val="uk-UA" w:eastAsia="ru-RU"/>
        </w:rPr>
        <w:t>відділу обліку та звітності.</w:t>
      </w:r>
    </w:p>
    <w:p w14:paraId="79EFDE8E"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7.21 Бухгалтерський облік надходження, переміщення та вибуття гуманітарної допомоги відображають в облікових регістрах, але окремо від матеріальних цінностей, придбаних за рахунок коштів інших джерел надходжень.</w:t>
      </w:r>
    </w:p>
    <w:p w14:paraId="0239E51A"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7.22 Основні засоби передаються за рішенням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разом з первинними документами (чи їх копіями), або обліковими регістрами (чи їх копіями), або іншими документами, в яких зазначено вартість придбання (створення) основних засобів .</w:t>
      </w:r>
    </w:p>
    <w:p w14:paraId="0216BF23"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7.23 У разі якщо відсутня достовірна інформація щодо первісної вартості основних засобів, первісна вартість визначається на рівні справедливої вартості на дату отримання, оцінка якої проводиться відповідно до законодавства.   </w:t>
      </w:r>
    </w:p>
    <w:p w14:paraId="3DAF4708"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7.24 Відповідно до пункту 3.5.2 Порядку бюджетні установи, що отримують благодійні внески, гранти та дарунки складають "Звіт про надходження і використання коштів, отриманих за іншими джерелами власних надходжень" (форма N 4-2д, N 4-2м).</w:t>
      </w:r>
    </w:p>
    <w:p w14:paraId="0844D9EB" w14:textId="77777777" w:rsidR="00B36FFA" w:rsidRPr="00143D5A" w:rsidRDefault="00B36FFA" w:rsidP="000C7BCE">
      <w:pPr>
        <w:shd w:val="clear" w:color="auto" w:fill="FFFFFF" w:themeFill="background1"/>
        <w:spacing w:after="0"/>
        <w:ind w:right="-285" w:firstLine="709"/>
        <w:jc w:val="both"/>
        <w:rPr>
          <w:rFonts w:eastAsia="Times New Roman" w:cs="Times New Roman"/>
          <w:sz w:val="26"/>
          <w:szCs w:val="26"/>
          <w:lang w:val="uk-UA" w:eastAsia="ru-RU"/>
        </w:rPr>
      </w:pPr>
    </w:p>
    <w:p w14:paraId="5468BA4D" w14:textId="77777777" w:rsidR="009974DD" w:rsidRPr="00143D5A" w:rsidRDefault="009974DD" w:rsidP="007E2A34">
      <w:pPr>
        <w:pStyle w:val="a6"/>
        <w:numPr>
          <w:ilvl w:val="0"/>
          <w:numId w:val="5"/>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t>Облік матеріальних запасів, малоцінних та швидкозношуваних предметів (далі МШП)</w:t>
      </w:r>
    </w:p>
    <w:p w14:paraId="50C00313" w14:textId="77777777" w:rsidR="007E2A34" w:rsidRPr="00143D5A" w:rsidRDefault="007E2A34" w:rsidP="007E2A34">
      <w:pPr>
        <w:pStyle w:val="a6"/>
        <w:shd w:val="clear" w:color="auto" w:fill="FFFFFF" w:themeFill="background1"/>
        <w:spacing w:after="0"/>
        <w:ind w:right="-285"/>
        <w:rPr>
          <w:rFonts w:eastAsia="Times New Roman" w:cs="Times New Roman"/>
          <w:caps/>
          <w:sz w:val="26"/>
          <w:szCs w:val="26"/>
          <w:lang w:val="uk-UA" w:eastAsia="ru-RU"/>
        </w:rPr>
      </w:pPr>
    </w:p>
    <w:p w14:paraId="7142C757" w14:textId="77777777" w:rsidR="009974DD" w:rsidRPr="00143D5A" w:rsidRDefault="009974DD" w:rsidP="000C7BCE">
      <w:pPr>
        <w:pStyle w:val="a6"/>
        <w:numPr>
          <w:ilvl w:val="1"/>
          <w:numId w:val="21"/>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До малоцінних та швидкозношуваних предметів (МШП) зараховують </w:t>
      </w:r>
      <w:r w:rsidR="004C7F06" w:rsidRPr="00143D5A">
        <w:rPr>
          <w:rFonts w:eastAsia="Times New Roman" w:cs="Times New Roman"/>
          <w:sz w:val="26"/>
          <w:szCs w:val="26"/>
          <w:lang w:val="uk-UA" w:eastAsia="ru-RU"/>
        </w:rPr>
        <w:t>канцелярські та господарські товари</w:t>
      </w:r>
      <w:r w:rsidRPr="00143D5A">
        <w:rPr>
          <w:rFonts w:eastAsia="Times New Roman" w:cs="Times New Roman"/>
          <w:sz w:val="26"/>
          <w:szCs w:val="26"/>
          <w:lang w:val="uk-UA" w:eastAsia="ru-RU"/>
        </w:rPr>
        <w:t>, що придбані для використання у діяльності установи на строк користування менше одного року.</w:t>
      </w:r>
    </w:p>
    <w:p w14:paraId="29E653D6"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8.2 За функціональною роллю у процесі відтворення вони належать до оборотних активів, тому для них характерні всі ознаки, що стосуються цієї групи засобів. У той же час малоцінні та швидкозношувані предмети, мають певну специфіку використання: вони можуть використовуватися у діяльності установи тривалий час (протягом декількох місяців), не змінюючи при цьому зовнішнього вигляду та основних фізичних властивостей.</w:t>
      </w:r>
    </w:p>
    <w:p w14:paraId="042AFCB5" w14:textId="77777777"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малоцінних та швидкозношуваних предметів планом рахунків бухгалтерського обліку бюджетних установ передбачено окремий синтетичний рахунок 1812 "Малоцінні та швидкозношувані предмети".</w:t>
      </w:r>
    </w:p>
    <w:p w14:paraId="002D5591" w14:textId="77777777"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Оприбуткування придбаних малоцінних та швидкозношуваних предметів у разі оплати після їх отримання, відображається за дебетом субрахунку 1812 "Малоцінні та швидкозношувані предмети" та кредитом субрахунку 6211 "Розрахунки з постачальниками та підрядниками", без урахуванням суми податку на додану вартість.</w:t>
      </w:r>
    </w:p>
    <w:p w14:paraId="66385CC9" w14:textId="77777777"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Рух малоцінних та швидкозношуваних предметів у </w:t>
      </w:r>
      <w:r w:rsidR="005115BF" w:rsidRPr="00143D5A">
        <w:rPr>
          <w:rFonts w:eastAsia="Times New Roman" w:cs="Times New Roman"/>
          <w:sz w:val="26"/>
          <w:szCs w:val="26"/>
          <w:lang w:val="uk-UA" w:eastAsia="ru-RU"/>
        </w:rPr>
        <w:t>сільській</w:t>
      </w:r>
      <w:r w:rsidRPr="00143D5A">
        <w:rPr>
          <w:rFonts w:eastAsia="Times New Roman" w:cs="Times New Roman"/>
          <w:sz w:val="26"/>
          <w:szCs w:val="26"/>
          <w:lang w:val="uk-UA" w:eastAsia="ru-RU"/>
        </w:rPr>
        <w:t xml:space="preserve"> раді оформляється первинними документами типових міжвідомчих форм з обліку та списання, затверджених наказом Міністерства статистики України від 22.05.1996 р. № 145.</w:t>
      </w:r>
    </w:p>
    <w:p w14:paraId="1B4C854E" w14:textId="77777777"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Форма № МШ-8 "Акт на списання малоцінних та швидкозношуваних предметів" застосовується для оформлення списання морально застарілих, зношених і непридатних для подальшого використання предметів.</w:t>
      </w:r>
    </w:p>
    <w:p w14:paraId="61A2D3F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14:paraId="3EAB2B6F" w14:textId="77777777" w:rsidR="009974DD" w:rsidRPr="00143D5A" w:rsidRDefault="009974DD" w:rsidP="007E2A34">
      <w:pPr>
        <w:pStyle w:val="a6"/>
        <w:numPr>
          <w:ilvl w:val="0"/>
          <w:numId w:val="5"/>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t>Нарахування зносу.</w:t>
      </w:r>
    </w:p>
    <w:p w14:paraId="47AE26B4" w14:textId="77777777" w:rsidR="007E2A34" w:rsidRPr="00143D5A" w:rsidRDefault="007E2A34" w:rsidP="007E2A34">
      <w:pPr>
        <w:pStyle w:val="a6"/>
        <w:shd w:val="clear" w:color="auto" w:fill="FFFFFF" w:themeFill="background1"/>
        <w:spacing w:after="0"/>
        <w:ind w:right="-285"/>
        <w:rPr>
          <w:rFonts w:eastAsia="Times New Roman" w:cs="Times New Roman"/>
          <w:sz w:val="26"/>
          <w:szCs w:val="26"/>
          <w:lang w:val="uk-UA" w:eastAsia="ru-RU"/>
        </w:rPr>
      </w:pPr>
    </w:p>
    <w:p w14:paraId="7F0F9803" w14:textId="77777777"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Об’єктом амортизації є вартість, яка амортизується. Нарахування амортизації здійснюється відповідно до розділу ІV НП (С)БО в державному секторі 121 “Основні засоби». У відділ</w:t>
      </w:r>
      <w:r w:rsidR="00B66055">
        <w:rPr>
          <w:rFonts w:eastAsia="Times New Roman" w:cs="Times New Roman"/>
          <w:sz w:val="26"/>
          <w:szCs w:val="26"/>
          <w:lang w:val="uk-UA" w:eastAsia="ru-RU"/>
        </w:rPr>
        <w:t>ах</w:t>
      </w:r>
      <w:r w:rsidRPr="00143D5A">
        <w:rPr>
          <w:rFonts w:eastAsia="Times New Roman" w:cs="Times New Roman"/>
          <w:sz w:val="26"/>
          <w:szCs w:val="26"/>
          <w:lang w:val="uk-UA" w:eastAsia="ru-RU"/>
        </w:rPr>
        <w:t xml:space="preserve"> </w:t>
      </w:r>
      <w:r w:rsidR="005115BF" w:rsidRPr="00143D5A">
        <w:rPr>
          <w:rFonts w:eastAsia="Times New Roman" w:cs="Times New Roman"/>
          <w:sz w:val="26"/>
          <w:szCs w:val="26"/>
          <w:lang w:val="uk-UA" w:eastAsia="ru-RU"/>
        </w:rPr>
        <w:t>сільської</w:t>
      </w:r>
      <w:r w:rsidR="007E2A34"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ради проводити нарахування амортизації (зносу) на основні засоби за прямолінійним методом на систематичній основі шляхом її нарахування на річну дату балансу не пізніше 31 грудня звітного року. Знос нарахований у розмірі 100 відсотків вартості на основні засоби, не може бути підставою для їх списання </w:t>
      </w:r>
    </w:p>
    <w:p w14:paraId="14479604" w14:textId="77777777"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проводиться виходячи зі строків очікуваної експлуатації нематеріальних активів, визначених у додатку 2 до Методичних рекомендацій щодо облікової політики суб’єкта державного сектору, затверджених наказом Мінфіну від 23.01.2015 р. № 11.</w:t>
      </w:r>
    </w:p>
    <w:p w14:paraId="1952D2B9" w14:textId="77777777"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Відповідно до пунктів 3 та 5 розділу IV Стандарту 121 нарахування амортизації здійснюється протягом строку корисного використання (експлуатації) об'єкта основних засобів при визнанні цього об'єкта активом (при зарахуванні на баланс)</w:t>
      </w:r>
      <w:r w:rsidR="0098369A" w:rsidRPr="00143D5A">
        <w:rPr>
          <w:rFonts w:eastAsia="Times New Roman" w:cs="Times New Roman"/>
          <w:sz w:val="26"/>
          <w:szCs w:val="26"/>
          <w:lang w:val="uk-UA" w:eastAsia="ru-RU"/>
        </w:rPr>
        <w:t>.</w:t>
      </w:r>
    </w:p>
    <w:p w14:paraId="196AD0B0" w14:textId="77777777"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Проводити нарахування амортизації протягом строку корисного використання (експлуатації) об’єкта основних засобів при визнанні цього об’єкта активом (при зарахуванні на баланс) на дату балансу і призупиняти на період </w:t>
      </w:r>
      <w:r w:rsidRPr="00143D5A">
        <w:rPr>
          <w:rFonts w:eastAsia="Times New Roman" w:cs="Times New Roman"/>
          <w:sz w:val="26"/>
          <w:szCs w:val="26"/>
          <w:lang w:val="uk-UA" w:eastAsia="ru-RU"/>
        </w:rPr>
        <w:lastRenderedPageBreak/>
        <w:t>реконструкції, модернізації, добудови, дообладнання та консервації, із застосуванням прямолінійного методу, при якому річна сума амортизації визначається діленням вартості, яка амортизується, на строк корисного використання об’єкта основних засобів (крім інших необоротних матеріальних активів).</w:t>
      </w:r>
    </w:p>
    <w:p w14:paraId="31D49C5F" w14:textId="77777777"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здійснюється на річну дату балансу, нарахування амортизації основних засобів починається з місяця, наступного за місяцем, у якому об’єкт основних засобів став придатним для корисного використання.</w:t>
      </w:r>
    </w:p>
    <w:p w14:paraId="447FB756" w14:textId="77777777"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інших необоротних активів здійснювати в першому місяці передачі у використання об’єкта необоротних активів у розмірі 50 відсотків його первісної вартості та решти 50 відсотків первісної вартості – у місяці їх вилучення з активів (списання з балансу).</w:t>
      </w:r>
    </w:p>
    <w:p w14:paraId="72A93B60" w14:textId="77777777"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Вартість робіт з добудови та дообладнання призвели до збільшення майбутніх економічних вигід об'єкта основних засобів, а отже, доцільно переглянути очікуваний термін його корисного використання.</w:t>
      </w:r>
    </w:p>
    <w:p w14:paraId="6157C99C"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9.8 Вартість амортизаційних відрахувань після збільшення балансової вартості об'єкта основних засобів розраховується протягом строку корисного використання за вирахуванням строку, протягом якого об'єкт уже перебував в експлуатації, тобто другий варіант розрахунку амортизації є правильним.</w:t>
      </w:r>
    </w:p>
    <w:p w14:paraId="7FDE49B3" w14:textId="77777777" w:rsidR="0098369A" w:rsidRPr="00143D5A" w:rsidRDefault="0098369A" w:rsidP="000C7BCE">
      <w:pPr>
        <w:shd w:val="clear" w:color="auto" w:fill="FFFFFF" w:themeFill="background1"/>
        <w:spacing w:after="0"/>
        <w:ind w:right="-285" w:firstLine="709"/>
        <w:jc w:val="both"/>
        <w:rPr>
          <w:rFonts w:eastAsia="Times New Roman" w:cs="Times New Roman"/>
          <w:sz w:val="26"/>
          <w:szCs w:val="26"/>
          <w:lang w:val="uk-UA" w:eastAsia="ru-RU"/>
        </w:rPr>
      </w:pPr>
    </w:p>
    <w:p w14:paraId="0DBE44AD" w14:textId="77777777" w:rsidR="009974DD" w:rsidRPr="00143D5A" w:rsidRDefault="00B36FFA" w:rsidP="000C7BCE">
      <w:pPr>
        <w:numPr>
          <w:ilvl w:val="0"/>
          <w:numId w:val="8"/>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 xml:space="preserve">ПереоцінкА та </w:t>
      </w:r>
      <w:r w:rsidR="009974DD" w:rsidRPr="00143D5A">
        <w:rPr>
          <w:rFonts w:eastAsia="Times New Roman" w:cs="Times New Roman"/>
          <w:bCs/>
          <w:caps/>
          <w:sz w:val="26"/>
          <w:szCs w:val="26"/>
          <w:lang w:val="uk-UA" w:eastAsia="ru-RU"/>
        </w:rPr>
        <w:t>дооцінка основних засобів</w:t>
      </w:r>
    </w:p>
    <w:p w14:paraId="575D6302" w14:textId="77777777"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14:paraId="34AC2C7A"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Переоцінку основних засобів проводити за розпорядженням </w:t>
      </w:r>
      <w:r w:rsidR="005115BF"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w:t>
      </w:r>
    </w:p>
    <w:p w14:paraId="4C331B9D"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Передбачено, що </w:t>
      </w:r>
      <w:r w:rsidR="005115BF" w:rsidRPr="00143D5A">
        <w:rPr>
          <w:rFonts w:eastAsia="Times New Roman" w:cs="Times New Roman"/>
          <w:sz w:val="26"/>
          <w:szCs w:val="26"/>
          <w:lang w:val="uk-UA" w:eastAsia="ru-RU"/>
        </w:rPr>
        <w:t>сільська</w:t>
      </w:r>
      <w:r w:rsidRPr="00143D5A">
        <w:rPr>
          <w:rFonts w:eastAsia="Times New Roman" w:cs="Times New Roman"/>
          <w:sz w:val="26"/>
          <w:szCs w:val="26"/>
          <w:lang w:val="uk-UA" w:eastAsia="ru-RU"/>
        </w:rPr>
        <w:t xml:space="preserve"> рада може переоцінити об’єкт основних засобів, якщо залишкова вартість цього об’єкта суттєво відрізняється від його справедливої вартості на дату балансу.</w:t>
      </w:r>
    </w:p>
    <w:p w14:paraId="5FB720F6"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Переоцінена первісна вартість та сума зносу об'єкта основних засобів визначаються множенням відповідно первісної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14:paraId="0F786FC9"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Якщо залишкова вартість об'єкта основних засобів дорівнює нулю, то його переоцінена залишкова вартість визначається додаванням справедливої вартості цього об'єкта до його первісної (переоціненої) вартості без зміни суми зносу об'єкта. При цьому для об'єктів, що продовжують використовуватися, обов'язково визначається ліквідаційна вартість.</w:t>
      </w:r>
    </w:p>
    <w:p w14:paraId="1A653382"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 разі прийняття такого рішення переоцінку основних засобів здійснюють на річну дату балансу.</w:t>
      </w:r>
    </w:p>
    <w:p w14:paraId="3775D2A0"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Порогом суттєвості для проведення переоцінки об'єктів основних засобів приймається величина, що дорівнює 10-відсотковому відхиленню залишкової вартості об'єктів основних засобів від їх справедливої вартості.</w:t>
      </w:r>
    </w:p>
    <w:p w14:paraId="3E1E1A25"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Сума дооцінки залишкової вартості об'єкта основних засобів зараховується до капіталу у дооцінках, а сума уцінки - до складу витрат звітного періоду.</w:t>
      </w:r>
    </w:p>
    <w:p w14:paraId="23DDC500" w14:textId="77777777"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Перевищення сум попередніх дооцінок об'єкта основних засобів над сумою попередніх уцінок залишкової вартості цього об'єкта основних засобів щорічно у сумі, пропорційній нарахуванню амортизації, відноситься до накопиченого фінансового результату виконання кошторису з одночасним зменшенням капіталу у дооцінках, а при вибутті об'єкта основних засобів - на всю суму залишку перевищення сум попередніх дооцінок цього об'єкта основних засобів над сумою попередніх уцінок.</w:t>
      </w:r>
    </w:p>
    <w:p w14:paraId="0DDB5663"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14:paraId="328DCF16" w14:textId="77777777" w:rsidR="009974DD" w:rsidRPr="00143D5A" w:rsidRDefault="009974DD" w:rsidP="000C7BCE">
      <w:pPr>
        <w:numPr>
          <w:ilvl w:val="0"/>
          <w:numId w:val="9"/>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Облік матеріальних запасів</w:t>
      </w:r>
    </w:p>
    <w:p w14:paraId="054E3E89" w14:textId="77777777"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14:paraId="25C1C272"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Бухгалтерський облік нематеріальних активів проводити відповідно до вимог НП(С)БОДС 122 «Нематеріальні активи», затвердженого наказом Мінфіну від 12.10.2010 р. № 1202, та Методичних рекомендацій з бухгалтерського обліку основних засобів суб’єктів державного сектору, затверджених наказом Мінфіну від 23.01.2015 р. № 11.</w:t>
      </w:r>
    </w:p>
    <w:p w14:paraId="154D5D7E"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оформлення оприбуткування, руху, вибуття та аналітичного обліку нематеріальних активів використовувати типові форми або у разі відсутності – інші форми, оформлені згідно з вимогами пункту 3 розділу І Методичних рекомендацій до НП(С)БОДС 122 «Нематеріальні активи».</w:t>
      </w:r>
    </w:p>
    <w:p w14:paraId="54086897"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Формування в бухгалтерському обліку інформації про запаси і розкриття відповідної інформації у фінансовій звітності проводити відповідно до вимог НП(С)БОДС 123 «Запаси», затвердженого наказом Мінфіну від 12.10.2010 р. № 1202, та Методичних рекомендацій з бухгалтерського обліку запасів суб’єктів державного сектору, затверджених наказом Мінфіну від 23.01.2015 р. № 11 (із змінами).</w:t>
      </w:r>
    </w:p>
    <w:p w14:paraId="61A13D13"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Одиницею обліку запасів є їх найменування.</w:t>
      </w:r>
    </w:p>
    <w:p w14:paraId="01B0E20A"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Визначити, що запаси визнаються активом, якщо вартість запасів можливо достовірно визначити, існує ймовірність отримання майбутніх економічних вигод, пов’язаних з їх використанням, та/або вони мають потенціал корисності.</w:t>
      </w:r>
    </w:p>
    <w:p w14:paraId="79DC4ED4"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Запаси оприбутковувати за місцем їх відповідального зберігання.</w:t>
      </w:r>
    </w:p>
    <w:p w14:paraId="13C919E0"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прийняття, оформлення, оприбуткування, руху та аналітичного обліку запасів застосовувати типові форми або у разі відсутності – інші форми, оформлені згідно з вимогами пункту 3 розділу І Методичних рекомендацій до НП(С)БОДС 123 «Запаси».</w:t>
      </w:r>
    </w:p>
    <w:p w14:paraId="24F25E59"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Облік запасів матеріально-відповідальній особі вести за найменуваннями, сортами, кількістю, а </w:t>
      </w:r>
      <w:r w:rsidR="00944FCE" w:rsidRPr="00143D5A">
        <w:rPr>
          <w:rFonts w:eastAsia="Times New Roman" w:cs="Times New Roman"/>
          <w:sz w:val="26"/>
          <w:szCs w:val="26"/>
          <w:lang w:val="uk-UA" w:eastAsia="ru-RU"/>
        </w:rPr>
        <w:t xml:space="preserve">відділу бухгалтерського обліку та звітності </w:t>
      </w:r>
      <w:r w:rsidRPr="00143D5A">
        <w:rPr>
          <w:rFonts w:eastAsia="Times New Roman" w:cs="Times New Roman"/>
          <w:sz w:val="26"/>
          <w:szCs w:val="26"/>
          <w:lang w:val="uk-UA" w:eastAsia="ru-RU"/>
        </w:rPr>
        <w:t>рух запасів відображати  в оборотних відомостях.</w:t>
      </w:r>
    </w:p>
    <w:p w14:paraId="011A4A1D"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Матеріально-відповідальні особи зобов’язані щомісяця станом на перше число проводити звірку залишку запасів із відділом бухгалтерського обліку та звітності з графіком документообігу.</w:t>
      </w:r>
    </w:p>
    <w:p w14:paraId="6899DC7A"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 метою недопущення розкрадань (нестач) малоцінних і швидкозношуваних предметів проставляти в облікових картках підписи працівників, які отримали малоцінні та швидкозношувані предмети, відмітки про переміщення їх між структурними підрозділами, а також складати акти на їх списання у разі непридатності їх до експлуатації.</w:t>
      </w:r>
    </w:p>
    <w:p w14:paraId="71AC1906"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Запаси списувати з балансу в разі їх вибуття внаслідок списання, безоплатної передачі, нестачі, остаточного псування та інших причин невідповідності критеріям визначення активом.</w:t>
      </w:r>
    </w:p>
    <w:p w14:paraId="7248E547"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операцій з витрачання запасів використовується меморіальний ордер № 13 , відповідно до виду запасів.</w:t>
      </w:r>
    </w:p>
    <w:p w14:paraId="7190B66C"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 талонів на пальне обліковується на субрахунку 1514 «Паливо, горючі та мастильні матеріали».</w:t>
      </w:r>
    </w:p>
    <w:p w14:paraId="57B34126"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Списання використаного пального здійснювати щомісяця на підставі подорожніх листів або актів списання (відповідно норм) за фактичними витратами, але не більше лімітів та нормативів витрачання пального для легкових автомобілів.</w:t>
      </w:r>
    </w:p>
    <w:p w14:paraId="12D728A6"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Вибуття запасів оцінювати за методом собівартості перших за часом надходжень запасів згідно з пунктом 4 розділу ІV НП(с)БОДС 123 «Запаси», що базується на припущенні, що запаси використовуються у тій послідовності, у якій вони надходили.</w:t>
      </w:r>
    </w:p>
    <w:p w14:paraId="633F139D"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ведення обліку запасів запровадити відомість на видачу матеріальних цінностей, бланк подорожнього листа, форми яких не передбачено нормативно-правовими актами.</w:t>
      </w:r>
    </w:p>
    <w:p w14:paraId="05E0476E"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Відпуск запасів для використання здійснюється за роздавальними відомостями, які є підставою для складання акта на списання запасів.</w:t>
      </w:r>
    </w:p>
    <w:p w14:paraId="0820EED4" w14:textId="77777777"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Використовувати «Накопичувальну відомість позабалансового обліку» - Меморіальний ордер № 16 авт. для обліку:</w:t>
      </w:r>
    </w:p>
    <w:p w14:paraId="7276E067" w14:textId="77777777"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надходжень необоротних активів, отриманих від сторонніх організацій за договором оренди;</w:t>
      </w:r>
    </w:p>
    <w:p w14:paraId="558BC1C2" w14:textId="77777777"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матеріальних цінностей, прийнятих на відповідальне зберігання (у тому числі особисті речі працівників);</w:t>
      </w:r>
    </w:p>
    <w:p w14:paraId="6D951082" w14:textId="77777777"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суми списаної дебіторської заборгованості;</w:t>
      </w:r>
    </w:p>
    <w:p w14:paraId="0AA72DB0" w14:textId="77777777"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вартості матеріальних цінностей (нестачі, крадіжки), винні особи за якими не встановлені, а справи перебувають у слідчих органах;</w:t>
      </w:r>
    </w:p>
    <w:p w14:paraId="4A906020" w14:textId="77777777"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вартості бланків суворої звітності, талонів на пальне, марок поштових і путівок, отриманих безоплатно, тощо.</w:t>
      </w:r>
    </w:p>
    <w:p w14:paraId="1FC48564"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11.19  Для бухгалтерського обліку сувенірної чи подарункової продукції, яка придбавається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радою з метою вшанування і нагородження громадян і колективів підприємств, установ, організацій, якщо ці подарунки за своїми характеристиками відносяться до запасів, використовується субрахунок 1812. Списання сувенірної продукції з балансу оформляти актами списання довільної форми з зазначенням вичерпної інформації щодо кількості та вартісних показників.</w:t>
      </w:r>
    </w:p>
    <w:p w14:paraId="513E1808" w14:textId="77777777" w:rsidR="00620DE6"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p>
    <w:p w14:paraId="562CC86A" w14:textId="77777777" w:rsidR="009974DD" w:rsidRPr="00143D5A" w:rsidRDefault="009974DD" w:rsidP="000C7BCE">
      <w:pPr>
        <w:numPr>
          <w:ilvl w:val="0"/>
          <w:numId w:val="10"/>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caps/>
          <w:sz w:val="26"/>
          <w:szCs w:val="26"/>
          <w:lang w:val="uk-UA" w:eastAsia="ru-RU"/>
        </w:rPr>
        <w:t>Інвентаризація активів та зобов’язань</w:t>
      </w:r>
    </w:p>
    <w:p w14:paraId="0F117EBA" w14:textId="77777777"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14:paraId="2D374E7C" w14:textId="77777777" w:rsidR="009974DD"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 xml:space="preserve">12.1  Інвентаризацію активів та зобов’язань проводити відповідно до вимог Положення про інвентаризацію активів та зобов’язань, затвердженого наказом Міністерства фінансів України від 02.09.2014 р. № 879 (далі – </w:t>
      </w:r>
      <w:r w:rsidR="006030FE" w:rsidRPr="00143D5A">
        <w:rPr>
          <w:rFonts w:eastAsia="Times New Roman" w:cs="Times New Roman"/>
          <w:sz w:val="26"/>
          <w:szCs w:val="26"/>
          <w:lang w:val="uk-UA" w:eastAsia="ru-RU"/>
        </w:rPr>
        <w:t xml:space="preserve">Положення </w:t>
      </w:r>
      <w:r w:rsidRPr="00143D5A">
        <w:rPr>
          <w:rFonts w:eastAsia="Times New Roman" w:cs="Times New Roman"/>
          <w:sz w:val="26"/>
          <w:szCs w:val="26"/>
          <w:lang w:val="uk-UA" w:eastAsia="ru-RU"/>
        </w:rPr>
        <w:t xml:space="preserve">№ 879) на підставі розпорядження </w:t>
      </w:r>
      <w:r w:rsidR="006030FE"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про початок проведення інвентаризації за поточний рік.</w:t>
      </w:r>
    </w:p>
    <w:p w14:paraId="3DCAA544"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12.2</w:t>
      </w:r>
      <w:r w:rsidR="009974DD" w:rsidRPr="00143D5A">
        <w:rPr>
          <w:rFonts w:eastAsia="Times New Roman" w:cs="Times New Roman"/>
          <w:sz w:val="26"/>
          <w:szCs w:val="26"/>
          <w:lang w:val="uk-UA" w:eastAsia="ru-RU"/>
        </w:rPr>
        <w:t xml:space="preserve"> Для забезпечення достовірності даних бухгалтерського обліку та фінансової звітності бюджетні установи зобов’язані проводити інвентаризацію.</w:t>
      </w:r>
    </w:p>
    <w:p w14:paraId="223300B7"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12.3</w:t>
      </w:r>
      <w:r w:rsidR="009974DD" w:rsidRPr="00143D5A">
        <w:rPr>
          <w:rFonts w:eastAsia="Times New Roman" w:cs="Times New Roman"/>
          <w:sz w:val="26"/>
          <w:szCs w:val="26"/>
          <w:lang w:val="uk-UA" w:eastAsia="ru-RU"/>
        </w:rPr>
        <w:t xml:space="preserve"> Згідно з п. 10 розділ І Положення про інвентаризацію активів та зобов’язань, затвердженого наказом Мінфіну</w:t>
      </w:r>
      <w:r w:rsidR="00143D5A">
        <w:rPr>
          <w:rFonts w:eastAsia="Times New Roman" w:cs="Times New Roman"/>
          <w:sz w:val="26"/>
          <w:szCs w:val="26"/>
          <w:lang w:val="uk-UA" w:eastAsia="ru-RU"/>
        </w:rPr>
        <w:t xml:space="preserve"> </w:t>
      </w:r>
      <w:hyperlink r:id="rId8" w:history="1">
        <w:r w:rsidR="006030FE" w:rsidRPr="00143D5A">
          <w:rPr>
            <w:rFonts w:eastAsia="Times New Roman" w:cs="Times New Roman"/>
            <w:sz w:val="26"/>
            <w:szCs w:val="26"/>
            <w:u w:val="single"/>
            <w:lang w:val="uk-UA" w:eastAsia="ru-RU"/>
          </w:rPr>
          <w:t>від 02.09.14р. №</w:t>
        </w:r>
        <w:r w:rsidR="009974DD" w:rsidRPr="00143D5A">
          <w:rPr>
            <w:rFonts w:eastAsia="Times New Roman" w:cs="Times New Roman"/>
            <w:sz w:val="26"/>
            <w:szCs w:val="26"/>
            <w:u w:val="single"/>
            <w:lang w:val="uk-UA" w:eastAsia="ru-RU"/>
          </w:rPr>
          <w:t>79</w:t>
        </w:r>
      </w:hyperlink>
      <w:r w:rsidR="006030FE" w:rsidRPr="00143D5A">
        <w:rPr>
          <w:rFonts w:eastAsia="Times New Roman" w:cs="Times New Roman"/>
          <w:sz w:val="26"/>
          <w:szCs w:val="26"/>
          <w:lang w:val="uk-UA" w:eastAsia="ru-RU"/>
        </w:rPr>
        <w:t xml:space="preserve">, </w:t>
      </w:r>
      <w:r w:rsidR="009974DD" w:rsidRPr="00143D5A">
        <w:rPr>
          <w:rFonts w:eastAsia="Times New Roman" w:cs="Times New Roman"/>
          <w:sz w:val="26"/>
          <w:szCs w:val="26"/>
          <w:lang w:val="uk-UA" w:eastAsia="ru-RU"/>
        </w:rPr>
        <w:t xml:space="preserve">інвентаризація запасів, зокрема МШП, проводиться </w:t>
      </w:r>
      <w:r w:rsidR="006030FE" w:rsidRPr="00143D5A">
        <w:rPr>
          <w:rFonts w:eastAsia="Times New Roman" w:cs="Times New Roman"/>
          <w:sz w:val="26"/>
          <w:szCs w:val="26"/>
          <w:lang w:val="uk-UA" w:eastAsia="ru-RU"/>
        </w:rPr>
        <w:t xml:space="preserve">в період протягом трьох місяців </w:t>
      </w:r>
      <w:r w:rsidR="009974DD" w:rsidRPr="00143D5A">
        <w:rPr>
          <w:rFonts w:eastAsia="Times New Roman" w:cs="Times New Roman"/>
          <w:sz w:val="26"/>
          <w:szCs w:val="26"/>
          <w:lang w:val="uk-UA" w:eastAsia="ru-RU"/>
        </w:rPr>
        <w:t>перед складанням річної фінансової звітності на дати балансу.</w:t>
      </w:r>
    </w:p>
    <w:p w14:paraId="19AF2C3F"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12.4</w:t>
      </w:r>
      <w:r w:rsidR="009974DD" w:rsidRPr="00143D5A">
        <w:rPr>
          <w:rFonts w:eastAsia="Times New Roman" w:cs="Times New Roman"/>
          <w:sz w:val="26"/>
          <w:szCs w:val="26"/>
          <w:lang w:val="uk-UA" w:eastAsia="ru-RU"/>
        </w:rPr>
        <w:t xml:space="preserve"> Об’єкти, періодичність та строки проведення інвентаризації у звітному році затверджуються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w:t>
      </w:r>
    </w:p>
    <w:p w14:paraId="70413677"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12.5</w:t>
      </w:r>
      <w:r w:rsidR="009974DD" w:rsidRPr="00143D5A">
        <w:rPr>
          <w:rFonts w:eastAsia="Times New Roman" w:cs="Times New Roman"/>
          <w:sz w:val="26"/>
          <w:szCs w:val="26"/>
          <w:lang w:val="uk-UA" w:eastAsia="ru-RU"/>
        </w:rPr>
        <w:t xml:space="preserve"> При знятті натуральних залишків товарно-матеріальних цінностей по кожному окремому підрозділу, які знаходяться у матеріально ві</w:t>
      </w:r>
      <w:r w:rsidRPr="00143D5A">
        <w:rPr>
          <w:rFonts w:eastAsia="Times New Roman" w:cs="Times New Roman"/>
          <w:sz w:val="26"/>
          <w:szCs w:val="26"/>
          <w:lang w:val="uk-UA" w:eastAsia="ru-RU"/>
        </w:rPr>
        <w:t>дповідальної особи, складається</w:t>
      </w:r>
      <w:r w:rsidR="009974DD" w:rsidRPr="00143D5A">
        <w:rPr>
          <w:rFonts w:eastAsia="Times New Roman" w:cs="Times New Roman"/>
          <w:sz w:val="26"/>
          <w:szCs w:val="26"/>
          <w:lang w:val="uk-UA" w:eastAsia="ru-RU"/>
        </w:rPr>
        <w:t xml:space="preserve"> Інвентаризаційний опис запасів, форму якого затверджено наказом Мінфіну</w:t>
      </w:r>
      <w:r w:rsidR="00143D5A">
        <w:rPr>
          <w:rFonts w:eastAsia="Times New Roman" w:cs="Times New Roman"/>
          <w:sz w:val="26"/>
          <w:szCs w:val="26"/>
          <w:lang w:val="uk-UA" w:eastAsia="ru-RU"/>
        </w:rPr>
        <w:t xml:space="preserve"> </w:t>
      </w:r>
      <w:hyperlink r:id="rId9" w:history="1">
        <w:r w:rsidR="009974DD" w:rsidRPr="00143D5A">
          <w:rPr>
            <w:rFonts w:eastAsia="Times New Roman" w:cs="Times New Roman"/>
            <w:sz w:val="26"/>
            <w:szCs w:val="26"/>
            <w:lang w:val="uk-UA" w:eastAsia="ru-RU"/>
          </w:rPr>
          <w:t>від 17.06.15 р. № 572</w:t>
        </w:r>
      </w:hyperlink>
      <w:r w:rsidR="009974DD" w:rsidRPr="00143D5A">
        <w:rPr>
          <w:rFonts w:eastAsia="Times New Roman" w:cs="Times New Roman"/>
          <w:sz w:val="26"/>
          <w:szCs w:val="26"/>
          <w:lang w:val="uk-UA" w:eastAsia="ru-RU"/>
        </w:rPr>
        <w:t>. Цим же наказом затверджено і форму Звіряльної відомості результатів інвентаризації запасів, до якої включаються виявлені розбіжності між даними бух. обліку і даними інвентаризаційних описів.</w:t>
      </w:r>
    </w:p>
    <w:p w14:paraId="10D35B4F"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12.6</w:t>
      </w:r>
      <w:r w:rsidR="009974DD" w:rsidRPr="00143D5A">
        <w:rPr>
          <w:rFonts w:eastAsia="Times New Roman" w:cs="Times New Roman"/>
          <w:sz w:val="26"/>
          <w:szCs w:val="26"/>
          <w:lang w:val="uk-UA" w:eastAsia="ru-RU"/>
        </w:rPr>
        <w:t xml:space="preserve"> На МШП, які обліковуються в оперативному порядку, інвента</w:t>
      </w:r>
      <w:r w:rsidRPr="00143D5A">
        <w:rPr>
          <w:rFonts w:eastAsia="Times New Roman" w:cs="Times New Roman"/>
          <w:sz w:val="26"/>
          <w:szCs w:val="26"/>
          <w:lang w:val="uk-UA" w:eastAsia="ru-RU"/>
        </w:rPr>
        <w:t>ризаційні описи не складаються,</w:t>
      </w:r>
      <w:r w:rsidR="009974DD" w:rsidRPr="00143D5A">
        <w:rPr>
          <w:rFonts w:eastAsia="Times New Roman" w:cs="Times New Roman"/>
          <w:sz w:val="26"/>
          <w:szCs w:val="26"/>
          <w:lang w:val="uk-UA" w:eastAsia="ru-RU"/>
        </w:rPr>
        <w:t>а перевіряється фактична наявність цих предметів у матеріально відповідальних осіб шляхом зіставлення з відомістю оперативного обліку. Виявлена при цьому нестача предметів оформлюється актом.</w:t>
      </w:r>
    </w:p>
    <w:p w14:paraId="1762A4B7"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12.7</w:t>
      </w:r>
      <w:r w:rsidR="009974DD" w:rsidRPr="00143D5A">
        <w:rPr>
          <w:rFonts w:eastAsia="Times New Roman" w:cs="Times New Roman"/>
          <w:sz w:val="26"/>
          <w:szCs w:val="26"/>
          <w:lang w:val="uk-UA" w:eastAsia="ru-RU"/>
        </w:rPr>
        <w:t xml:space="preserve"> Склад комісії з інвентаризації активів та зобов’язань затверджувати окремим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 «Про проведення річної інвентаризації основних засобів, інших необоротних матеріальних активів, товарно-матеріальних цінностей, грошових документів, розрахунків, інших статей балансу та за балансових статей».</w:t>
      </w:r>
    </w:p>
    <w:p w14:paraId="3E55D11B"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12.8</w:t>
      </w:r>
      <w:r w:rsidR="009974DD" w:rsidRPr="00143D5A">
        <w:rPr>
          <w:rFonts w:eastAsia="Times New Roman" w:cs="Times New Roman"/>
          <w:sz w:val="26"/>
          <w:szCs w:val="26"/>
          <w:lang w:val="uk-UA" w:eastAsia="ru-RU"/>
        </w:rPr>
        <w:t xml:space="preserve"> Право визначення непридатності матеріальних цінностей і встановлення неможливості або неефективності проведення відновленого ремонту, а також </w:t>
      </w:r>
      <w:r w:rsidR="009974DD" w:rsidRPr="00143D5A">
        <w:rPr>
          <w:rFonts w:eastAsia="Times New Roman" w:cs="Times New Roman"/>
          <w:sz w:val="26"/>
          <w:szCs w:val="26"/>
          <w:lang w:val="uk-UA" w:eastAsia="ru-RU"/>
        </w:rPr>
        <w:lastRenderedPageBreak/>
        <w:t xml:space="preserve">оформлення необхідної документації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 може бути надано щорічній інвентаризаційній комісії.</w:t>
      </w:r>
    </w:p>
    <w:p w14:paraId="7D43BD5D"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12.9</w:t>
      </w:r>
      <w:r w:rsidR="009974DD" w:rsidRPr="00143D5A">
        <w:rPr>
          <w:rFonts w:eastAsia="Times New Roman" w:cs="Times New Roman"/>
          <w:sz w:val="26"/>
          <w:szCs w:val="26"/>
          <w:lang w:val="uk-UA" w:eastAsia="ru-RU"/>
        </w:rPr>
        <w:t xml:space="preserve"> Працівникам, відповідальним за збір і доставку первинних документів на обробку до </w:t>
      </w:r>
      <w:r w:rsidR="00143D5A" w:rsidRPr="00143D5A">
        <w:rPr>
          <w:rFonts w:eastAsia="Times New Roman" w:cs="Times New Roman"/>
          <w:sz w:val="26"/>
          <w:szCs w:val="26"/>
          <w:lang w:val="uk-UA" w:eastAsia="ru-RU"/>
        </w:rPr>
        <w:t xml:space="preserve">фінансового відділу та відділу </w:t>
      </w:r>
      <w:r w:rsidR="009974DD" w:rsidRPr="00143D5A">
        <w:rPr>
          <w:rFonts w:eastAsia="Times New Roman" w:cs="Times New Roman"/>
          <w:sz w:val="26"/>
          <w:szCs w:val="26"/>
          <w:lang w:val="uk-UA" w:eastAsia="ru-RU"/>
        </w:rPr>
        <w:t xml:space="preserve"> обліку та звітності, матеріально-відповідальним особам неухильно виконувати правомірні вимоги начальника відділу, щодо дотримання порядку їх оформлення і термінів подання до обліку.</w:t>
      </w:r>
    </w:p>
    <w:p w14:paraId="2AC4A0B5"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12.10</w:t>
      </w:r>
      <w:r w:rsidR="009974DD" w:rsidRPr="00143D5A">
        <w:rPr>
          <w:rFonts w:eastAsia="Times New Roman" w:cs="Times New Roman"/>
          <w:sz w:val="26"/>
          <w:szCs w:val="26"/>
          <w:lang w:val="uk-UA" w:eastAsia="ru-RU"/>
        </w:rPr>
        <w:t xml:space="preserve"> Встановити, що у разі несвоєчасного складання та подання первинних документів, недостовірності відображення в них даних, винні працівники притягуються до дисциплінарної відповідальності.</w:t>
      </w:r>
    </w:p>
    <w:p w14:paraId="54560669" w14:textId="77777777" w:rsidR="00620DE6" w:rsidRPr="00143D5A" w:rsidRDefault="00620DE6" w:rsidP="000C7BCE">
      <w:pPr>
        <w:shd w:val="clear" w:color="auto" w:fill="FFFFFF" w:themeFill="background1"/>
        <w:spacing w:after="0"/>
        <w:ind w:right="-285" w:firstLine="709"/>
        <w:jc w:val="both"/>
        <w:outlineLvl w:val="1"/>
        <w:rPr>
          <w:rFonts w:eastAsia="Times New Roman" w:cs="Times New Roman"/>
          <w:sz w:val="26"/>
          <w:szCs w:val="26"/>
          <w:lang w:val="uk-UA" w:eastAsia="ru-RU"/>
        </w:rPr>
      </w:pPr>
    </w:p>
    <w:p w14:paraId="0340CF01" w14:textId="77777777" w:rsidR="009974DD" w:rsidRPr="00143D5A" w:rsidRDefault="009974DD" w:rsidP="000C7BCE">
      <w:pPr>
        <w:numPr>
          <w:ilvl w:val="0"/>
          <w:numId w:val="11"/>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caps/>
          <w:sz w:val="26"/>
          <w:szCs w:val="26"/>
          <w:lang w:val="uk-UA" w:eastAsia="ru-RU"/>
        </w:rPr>
        <w:t>Подання звітності</w:t>
      </w:r>
    </w:p>
    <w:p w14:paraId="6851F935" w14:textId="77777777"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14:paraId="2BD247AA" w14:textId="77777777"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13.1</w:t>
      </w:r>
      <w:r w:rsidR="009974DD" w:rsidRPr="00143D5A">
        <w:rPr>
          <w:rFonts w:eastAsia="Times New Roman" w:cs="Times New Roman"/>
          <w:sz w:val="26"/>
          <w:szCs w:val="26"/>
          <w:lang w:val="uk-UA" w:eastAsia="ru-RU"/>
        </w:rPr>
        <w:t xml:space="preserve"> Начальнику </w:t>
      </w:r>
      <w:r w:rsidR="00143D5A" w:rsidRPr="00143D5A">
        <w:rPr>
          <w:rFonts w:eastAsia="Times New Roman" w:cs="Times New Roman"/>
          <w:sz w:val="26"/>
          <w:szCs w:val="26"/>
          <w:lang w:val="uk-UA" w:eastAsia="ru-RU"/>
        </w:rPr>
        <w:t xml:space="preserve">фінансового відділу та </w:t>
      </w:r>
      <w:r w:rsidR="009974DD" w:rsidRPr="00143D5A">
        <w:rPr>
          <w:rFonts w:eastAsia="Times New Roman" w:cs="Times New Roman"/>
          <w:sz w:val="26"/>
          <w:szCs w:val="26"/>
          <w:lang w:val="uk-UA" w:eastAsia="ru-RU"/>
        </w:rPr>
        <w:t>відділу обліку та звітності місячну, квартальну, річну фі</w:t>
      </w:r>
      <w:r w:rsidRPr="00143D5A">
        <w:rPr>
          <w:rFonts w:eastAsia="Times New Roman" w:cs="Times New Roman"/>
          <w:sz w:val="26"/>
          <w:szCs w:val="26"/>
          <w:lang w:val="uk-UA" w:eastAsia="ru-RU"/>
        </w:rPr>
        <w:t xml:space="preserve">нансову та бюджетну звітність, </w:t>
      </w:r>
      <w:r w:rsidR="009974DD" w:rsidRPr="00143D5A">
        <w:rPr>
          <w:rFonts w:eastAsia="Times New Roman" w:cs="Times New Roman"/>
          <w:sz w:val="26"/>
          <w:szCs w:val="26"/>
          <w:lang w:val="uk-UA" w:eastAsia="ru-RU"/>
        </w:rPr>
        <w:t>статистичну та податкову звітність подавати у строки затверджені Управлінням державної казначейської служби України, Управлінням статистики, Державною податковою службою.</w:t>
      </w:r>
    </w:p>
    <w:p w14:paraId="3D141455"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13.2 Звітним періодом для річної фінансової та бюджетної звітності є календарний рік. Проміжні облікові періоди визначаються ква</w:t>
      </w:r>
      <w:r w:rsidR="008121C0" w:rsidRPr="00143D5A">
        <w:rPr>
          <w:rFonts w:eastAsia="Times New Roman" w:cs="Times New Roman"/>
          <w:sz w:val="26"/>
          <w:szCs w:val="26"/>
          <w:lang w:val="uk-UA" w:eastAsia="ru-RU"/>
        </w:rPr>
        <w:t xml:space="preserve">рталами, місяцями. Звітність за </w:t>
      </w:r>
      <w:r w:rsidRPr="00143D5A">
        <w:rPr>
          <w:rFonts w:eastAsia="Times New Roman" w:cs="Times New Roman"/>
          <w:sz w:val="26"/>
          <w:szCs w:val="26"/>
          <w:lang w:val="uk-UA" w:eastAsia="ru-RU"/>
        </w:rPr>
        <w:t>такими періодами складається наростаючим підсумком з початку звітного року.</w:t>
      </w:r>
    </w:p>
    <w:p w14:paraId="465CD6F9" w14:textId="77777777" w:rsidR="009974DD" w:rsidRPr="00143D5A" w:rsidRDefault="009974DD" w:rsidP="000C7BCE">
      <w:pPr>
        <w:pStyle w:val="a6"/>
        <w:numPr>
          <w:ilvl w:val="1"/>
          <w:numId w:val="2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Подача звітів до інших компетентн</w:t>
      </w:r>
      <w:r w:rsidR="008121C0" w:rsidRPr="00143D5A">
        <w:rPr>
          <w:rFonts w:eastAsia="Times New Roman" w:cs="Times New Roman"/>
          <w:sz w:val="26"/>
          <w:szCs w:val="26"/>
          <w:lang w:val="uk-UA" w:eastAsia="ru-RU"/>
        </w:rPr>
        <w:t xml:space="preserve">их органів здійснюється у порядку, за формами та в </w:t>
      </w:r>
      <w:r w:rsidRPr="00143D5A">
        <w:rPr>
          <w:rFonts w:eastAsia="Times New Roman" w:cs="Times New Roman"/>
          <w:sz w:val="26"/>
          <w:szCs w:val="26"/>
          <w:lang w:val="uk-UA" w:eastAsia="ru-RU"/>
        </w:rPr>
        <w:t>строки, визначені чинним законодавством.</w:t>
      </w:r>
    </w:p>
    <w:p w14:paraId="72AFDCFB"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14:paraId="5FBD70CF" w14:textId="77777777" w:rsidR="009974DD" w:rsidRPr="00143D5A" w:rsidRDefault="009974DD" w:rsidP="000C7BCE">
      <w:pPr>
        <w:numPr>
          <w:ilvl w:val="0"/>
          <w:numId w:val="12"/>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Зберігання документів</w:t>
      </w:r>
    </w:p>
    <w:p w14:paraId="019D9722" w14:textId="77777777"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14:paraId="15BBB657" w14:textId="77777777" w:rsidR="009974DD"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xml:space="preserve">14.1 </w:t>
      </w:r>
      <w:r w:rsidR="009974DD" w:rsidRPr="00143D5A">
        <w:rPr>
          <w:rFonts w:eastAsia="Times New Roman" w:cs="Times New Roman"/>
          <w:sz w:val="26"/>
          <w:szCs w:val="26"/>
          <w:lang w:val="uk-UA" w:eastAsia="ru-RU"/>
        </w:rPr>
        <w:t>Первинні документи та облікові регістри, що пройшли обробку, бухгалтерські звіти і баланс зберігаються у</w:t>
      </w:r>
      <w:r w:rsidR="00143D5A" w:rsidRPr="00143D5A">
        <w:rPr>
          <w:rFonts w:eastAsia="Times New Roman" w:cs="Times New Roman"/>
          <w:sz w:val="26"/>
          <w:szCs w:val="26"/>
          <w:lang w:val="uk-UA" w:eastAsia="ru-RU"/>
        </w:rPr>
        <w:t xml:space="preserve"> фінансовому відділі та </w:t>
      </w:r>
      <w:r w:rsidR="009974DD" w:rsidRPr="00143D5A">
        <w:rPr>
          <w:rFonts w:eastAsia="Times New Roman" w:cs="Times New Roman"/>
          <w:sz w:val="26"/>
          <w:szCs w:val="26"/>
          <w:lang w:val="uk-UA" w:eastAsia="ru-RU"/>
        </w:rPr>
        <w:t xml:space="preserve"> відділі обліку та звітності </w:t>
      </w:r>
      <w:r w:rsidR="00523CEC" w:rsidRPr="00143D5A">
        <w:rPr>
          <w:rFonts w:eastAsia="Times New Roman" w:cs="Times New Roman"/>
          <w:sz w:val="26"/>
          <w:szCs w:val="26"/>
          <w:lang w:val="uk-UA" w:eastAsia="ru-RU"/>
        </w:rPr>
        <w:t>сільської</w:t>
      </w:r>
      <w:r w:rsidR="009974DD" w:rsidRPr="00143D5A">
        <w:rPr>
          <w:rFonts w:eastAsia="Times New Roman" w:cs="Times New Roman"/>
          <w:sz w:val="26"/>
          <w:szCs w:val="26"/>
          <w:lang w:val="uk-UA" w:eastAsia="ru-RU"/>
        </w:rPr>
        <w:t xml:space="preserve"> ради.</w:t>
      </w:r>
    </w:p>
    <w:p w14:paraId="5D4EE9EB" w14:textId="77777777" w:rsidR="009974DD"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14.2 </w:t>
      </w:r>
      <w:r w:rsidR="009974DD" w:rsidRPr="00143D5A">
        <w:rPr>
          <w:rFonts w:eastAsia="Times New Roman" w:cs="Times New Roman"/>
          <w:sz w:val="26"/>
          <w:szCs w:val="26"/>
          <w:lang w:val="uk-UA" w:eastAsia="ru-RU"/>
        </w:rPr>
        <w:t>Річний бухгалтерський звіт, штатні розписи та зміни до них, кошториси доходів і видатків, зміни до них підлягають обов’язковій передачі до архіву.</w:t>
      </w:r>
    </w:p>
    <w:p w14:paraId="3770B832" w14:textId="77777777" w:rsidR="009974DD" w:rsidRPr="00143D5A" w:rsidRDefault="009974DD" w:rsidP="000C7BCE">
      <w:pPr>
        <w:pStyle w:val="a6"/>
        <w:numPr>
          <w:ilvl w:val="1"/>
          <w:numId w:val="2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Термін зберігання первинних документів, облікових реєстрів, бухгалтерський звітів і балансів та документів, що утворюються в діяльності органів місцевого самоврядування, визначаються згідно з номенклатурою справ </w:t>
      </w:r>
      <w:r w:rsid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на відповідний період.</w:t>
      </w:r>
    </w:p>
    <w:p w14:paraId="7A5733D2" w14:textId="77777777" w:rsidR="008121C0" w:rsidRPr="00143D5A" w:rsidRDefault="008121C0" w:rsidP="000C7BCE">
      <w:pPr>
        <w:shd w:val="clear" w:color="auto" w:fill="FFFFFF" w:themeFill="background1"/>
        <w:spacing w:after="0"/>
        <w:ind w:right="-285" w:firstLine="709"/>
        <w:jc w:val="both"/>
        <w:rPr>
          <w:rFonts w:eastAsia="Times New Roman" w:cs="Times New Roman"/>
          <w:sz w:val="26"/>
          <w:szCs w:val="26"/>
          <w:lang w:val="uk-UA" w:eastAsia="ru-RU"/>
        </w:rPr>
      </w:pPr>
    </w:p>
    <w:p w14:paraId="7E6C0170" w14:textId="77777777" w:rsidR="009974DD" w:rsidRPr="00143D5A" w:rsidRDefault="009974DD" w:rsidP="000C7BCE">
      <w:pPr>
        <w:numPr>
          <w:ilvl w:val="0"/>
          <w:numId w:val="13"/>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Відповідальність працівників</w:t>
      </w:r>
    </w:p>
    <w:p w14:paraId="10801329" w14:textId="77777777"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14:paraId="1C6BCDE9"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 xml:space="preserve">15.1 Начальник </w:t>
      </w:r>
      <w:r w:rsidR="00143D5A" w:rsidRPr="00143D5A">
        <w:rPr>
          <w:rFonts w:eastAsia="Times New Roman" w:cs="Times New Roman"/>
          <w:sz w:val="26"/>
          <w:szCs w:val="26"/>
          <w:lang w:val="uk-UA" w:eastAsia="ru-RU"/>
        </w:rPr>
        <w:t xml:space="preserve">фінансового відділу та </w:t>
      </w:r>
      <w:r w:rsidRPr="00143D5A">
        <w:rPr>
          <w:rFonts w:eastAsia="Times New Roman" w:cs="Times New Roman"/>
          <w:sz w:val="26"/>
          <w:szCs w:val="26"/>
          <w:lang w:val="uk-UA" w:eastAsia="ru-RU"/>
        </w:rPr>
        <w:t xml:space="preserve">відділу обліку та звітності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в межах бюджетного законодавства є відповідальним за:</w:t>
      </w:r>
    </w:p>
    <w:p w14:paraId="6EC71818"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забезпечення дотримання установлених єдиних методологічних засад бухгалтерського обліку, складання і подання в установлені строки фінансової, бюджетної та іншої звітності;</w:t>
      </w:r>
    </w:p>
    <w:p w14:paraId="66F43040"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відображення на рахунках обліку всіх господарських операцій;</w:t>
      </w:r>
    </w:p>
    <w:p w14:paraId="40EBF7DE"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перевірки, візування документів, що є підставою для приймання та видачі товарно-матеріальних цінностей та коштів, а також розрахункових, кредитних та фінансових зобов’язань, господарських договорів;</w:t>
      </w:r>
    </w:p>
    <w:p w14:paraId="3790D9B7" w14:textId="77777777"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15.2 </w:t>
      </w:r>
      <w:r w:rsidR="000C7BCE" w:rsidRPr="00143D5A">
        <w:rPr>
          <w:rFonts w:eastAsia="Times New Roman" w:cs="Times New Roman"/>
          <w:sz w:val="26"/>
          <w:szCs w:val="26"/>
          <w:lang w:val="uk-UA" w:eastAsia="ru-RU"/>
        </w:rPr>
        <w:t>Норми</w:t>
      </w:r>
      <w:r w:rsidRPr="00143D5A">
        <w:rPr>
          <w:rFonts w:eastAsia="Times New Roman" w:cs="Times New Roman"/>
          <w:sz w:val="26"/>
          <w:szCs w:val="26"/>
          <w:lang w:val="uk-UA" w:eastAsia="ru-RU"/>
        </w:rPr>
        <w:t xml:space="preserve"> цього рішення </w:t>
      </w:r>
      <w:r w:rsidR="00B66055">
        <w:rPr>
          <w:rFonts w:eastAsia="Times New Roman" w:cs="Times New Roman"/>
          <w:sz w:val="26"/>
          <w:szCs w:val="26"/>
          <w:lang w:val="uk-UA" w:eastAsia="ru-RU"/>
        </w:rPr>
        <w:t xml:space="preserve">фінансовим </w:t>
      </w:r>
      <w:r w:rsidRPr="00143D5A">
        <w:rPr>
          <w:rFonts w:eastAsia="Times New Roman" w:cs="Times New Roman"/>
          <w:sz w:val="26"/>
          <w:szCs w:val="26"/>
          <w:lang w:val="uk-UA" w:eastAsia="ru-RU"/>
        </w:rPr>
        <w:t xml:space="preserve">відділом </w:t>
      </w:r>
      <w:r w:rsidR="00B66055">
        <w:rPr>
          <w:rFonts w:eastAsia="Times New Roman" w:cs="Times New Roman"/>
          <w:sz w:val="26"/>
          <w:szCs w:val="26"/>
          <w:lang w:val="uk-UA" w:eastAsia="ru-RU"/>
        </w:rPr>
        <w:t xml:space="preserve"> та відділом </w:t>
      </w:r>
      <w:r w:rsidRPr="00143D5A">
        <w:rPr>
          <w:rFonts w:eastAsia="Times New Roman" w:cs="Times New Roman"/>
          <w:sz w:val="26"/>
          <w:szCs w:val="26"/>
          <w:lang w:val="uk-UA" w:eastAsia="ru-RU"/>
        </w:rPr>
        <w:t xml:space="preserve"> обліку та звітності застосовувати з  моменту його затвердження.</w:t>
      </w:r>
    </w:p>
    <w:p w14:paraId="4AFD01B2" w14:textId="77777777" w:rsidR="008121C0" w:rsidRPr="00143D5A" w:rsidRDefault="008121C0" w:rsidP="000C7BCE">
      <w:pPr>
        <w:shd w:val="clear" w:color="auto" w:fill="FFFFFF" w:themeFill="background1"/>
        <w:spacing w:after="0"/>
        <w:ind w:right="-285" w:firstLine="709"/>
        <w:jc w:val="both"/>
        <w:rPr>
          <w:rFonts w:eastAsia="Times New Roman" w:cs="Times New Roman"/>
          <w:sz w:val="26"/>
          <w:szCs w:val="26"/>
          <w:lang w:val="uk-UA" w:eastAsia="ru-RU"/>
        </w:rPr>
      </w:pPr>
    </w:p>
    <w:p w14:paraId="6736D6B0" w14:textId="77777777" w:rsidR="003F3736" w:rsidRPr="00143D5A" w:rsidRDefault="003F3736" w:rsidP="00143D5A">
      <w:pPr>
        <w:shd w:val="clear" w:color="auto" w:fill="FFFFFF" w:themeFill="background1"/>
        <w:spacing w:after="0"/>
        <w:ind w:right="-285"/>
        <w:outlineLvl w:val="1"/>
        <w:rPr>
          <w:rFonts w:eastAsia="Times New Roman" w:cs="Times New Roman"/>
          <w:sz w:val="26"/>
          <w:szCs w:val="26"/>
          <w:lang w:val="uk-UA" w:eastAsia="ru-RU"/>
        </w:rPr>
      </w:pPr>
    </w:p>
    <w:p w14:paraId="3DD713A6" w14:textId="77777777" w:rsidR="00D07030" w:rsidRDefault="00D07030" w:rsidP="000C7BCE">
      <w:pPr>
        <w:spacing w:line="259" w:lineRule="auto"/>
        <w:ind w:right="-285"/>
        <w:rPr>
          <w:rFonts w:eastAsia="Times New Roman" w:cs="Times New Roman"/>
          <w:b/>
          <w:sz w:val="26"/>
          <w:szCs w:val="26"/>
          <w:lang w:val="uk-UA" w:eastAsia="ru-RU"/>
        </w:rPr>
      </w:pPr>
    </w:p>
    <w:p w14:paraId="7F19AEDA" w14:textId="77777777" w:rsidR="00143D5A" w:rsidRDefault="00143D5A" w:rsidP="000C7BCE">
      <w:pPr>
        <w:spacing w:line="259" w:lineRule="auto"/>
        <w:ind w:right="-285"/>
        <w:rPr>
          <w:rFonts w:eastAsia="Times New Roman" w:cs="Times New Roman"/>
          <w:b/>
          <w:sz w:val="26"/>
          <w:szCs w:val="26"/>
          <w:lang w:val="uk-UA" w:eastAsia="ru-RU"/>
        </w:rPr>
      </w:pPr>
    </w:p>
    <w:p w14:paraId="1755E273" w14:textId="77777777" w:rsidR="00143D5A" w:rsidRDefault="00143D5A" w:rsidP="000C7BCE">
      <w:pPr>
        <w:spacing w:line="259" w:lineRule="auto"/>
        <w:ind w:right="-285"/>
        <w:rPr>
          <w:rFonts w:eastAsia="Times New Roman" w:cs="Times New Roman"/>
          <w:b/>
          <w:sz w:val="26"/>
          <w:szCs w:val="26"/>
          <w:lang w:val="uk-UA" w:eastAsia="ru-RU"/>
        </w:rPr>
      </w:pPr>
    </w:p>
    <w:p w14:paraId="54DD15FD" w14:textId="77777777" w:rsidR="00143D5A" w:rsidRDefault="00143D5A" w:rsidP="000C7BCE">
      <w:pPr>
        <w:spacing w:line="259" w:lineRule="auto"/>
        <w:ind w:right="-285"/>
        <w:rPr>
          <w:rFonts w:eastAsia="Times New Roman" w:cs="Times New Roman"/>
          <w:b/>
          <w:sz w:val="26"/>
          <w:szCs w:val="26"/>
          <w:lang w:val="uk-UA" w:eastAsia="ru-RU"/>
        </w:rPr>
      </w:pPr>
    </w:p>
    <w:p w14:paraId="40A17E4D" w14:textId="77777777" w:rsidR="00143D5A" w:rsidRDefault="00143D5A" w:rsidP="000C7BCE">
      <w:pPr>
        <w:spacing w:line="259" w:lineRule="auto"/>
        <w:ind w:right="-285"/>
        <w:rPr>
          <w:rFonts w:eastAsia="Times New Roman" w:cs="Times New Roman"/>
          <w:b/>
          <w:sz w:val="26"/>
          <w:szCs w:val="26"/>
          <w:lang w:val="uk-UA" w:eastAsia="ru-RU"/>
        </w:rPr>
      </w:pPr>
    </w:p>
    <w:p w14:paraId="0E771F53" w14:textId="77777777" w:rsidR="00143D5A" w:rsidRDefault="00143D5A" w:rsidP="000C7BCE">
      <w:pPr>
        <w:spacing w:line="259" w:lineRule="auto"/>
        <w:ind w:right="-285"/>
        <w:rPr>
          <w:rFonts w:eastAsia="Times New Roman" w:cs="Times New Roman"/>
          <w:b/>
          <w:sz w:val="26"/>
          <w:szCs w:val="26"/>
          <w:lang w:val="uk-UA" w:eastAsia="ru-RU"/>
        </w:rPr>
      </w:pPr>
    </w:p>
    <w:p w14:paraId="0AF97458" w14:textId="77777777" w:rsidR="00143D5A" w:rsidRDefault="00143D5A" w:rsidP="000C7BCE">
      <w:pPr>
        <w:spacing w:line="259" w:lineRule="auto"/>
        <w:ind w:right="-285"/>
        <w:rPr>
          <w:rFonts w:eastAsia="Times New Roman" w:cs="Times New Roman"/>
          <w:b/>
          <w:sz w:val="26"/>
          <w:szCs w:val="26"/>
          <w:lang w:val="uk-UA" w:eastAsia="ru-RU"/>
        </w:rPr>
      </w:pPr>
    </w:p>
    <w:p w14:paraId="1EF1087F" w14:textId="77777777" w:rsidR="00143D5A" w:rsidRDefault="00143D5A" w:rsidP="000C7BCE">
      <w:pPr>
        <w:spacing w:line="259" w:lineRule="auto"/>
        <w:ind w:right="-285"/>
        <w:rPr>
          <w:rFonts w:eastAsia="Times New Roman" w:cs="Times New Roman"/>
          <w:b/>
          <w:sz w:val="26"/>
          <w:szCs w:val="26"/>
          <w:lang w:val="uk-UA" w:eastAsia="ru-RU"/>
        </w:rPr>
      </w:pPr>
    </w:p>
    <w:p w14:paraId="1FDFB047" w14:textId="77777777" w:rsidR="00143D5A" w:rsidRDefault="00143D5A" w:rsidP="000C7BCE">
      <w:pPr>
        <w:spacing w:line="259" w:lineRule="auto"/>
        <w:ind w:right="-285"/>
        <w:rPr>
          <w:rFonts w:eastAsia="Times New Roman" w:cs="Times New Roman"/>
          <w:b/>
          <w:sz w:val="26"/>
          <w:szCs w:val="26"/>
          <w:lang w:val="uk-UA" w:eastAsia="ru-RU"/>
        </w:rPr>
      </w:pPr>
    </w:p>
    <w:p w14:paraId="637A59D9" w14:textId="77777777" w:rsidR="00143D5A" w:rsidRDefault="00143D5A" w:rsidP="000C7BCE">
      <w:pPr>
        <w:spacing w:line="259" w:lineRule="auto"/>
        <w:ind w:right="-285"/>
        <w:rPr>
          <w:rFonts w:eastAsia="Times New Roman" w:cs="Times New Roman"/>
          <w:b/>
          <w:sz w:val="26"/>
          <w:szCs w:val="26"/>
          <w:lang w:val="uk-UA" w:eastAsia="ru-RU"/>
        </w:rPr>
      </w:pPr>
    </w:p>
    <w:p w14:paraId="67D5D3AA" w14:textId="77777777" w:rsidR="00143D5A" w:rsidRDefault="00143D5A" w:rsidP="000C7BCE">
      <w:pPr>
        <w:spacing w:line="259" w:lineRule="auto"/>
        <w:ind w:right="-285"/>
        <w:rPr>
          <w:rFonts w:eastAsia="Times New Roman" w:cs="Times New Roman"/>
          <w:b/>
          <w:sz w:val="26"/>
          <w:szCs w:val="26"/>
          <w:lang w:val="uk-UA" w:eastAsia="ru-RU"/>
        </w:rPr>
      </w:pPr>
    </w:p>
    <w:p w14:paraId="112607F0" w14:textId="77777777" w:rsidR="00143D5A" w:rsidRDefault="00143D5A" w:rsidP="000C7BCE">
      <w:pPr>
        <w:spacing w:line="259" w:lineRule="auto"/>
        <w:ind w:right="-285"/>
        <w:rPr>
          <w:rFonts w:eastAsia="Times New Roman" w:cs="Times New Roman"/>
          <w:b/>
          <w:sz w:val="26"/>
          <w:szCs w:val="26"/>
          <w:lang w:val="uk-UA" w:eastAsia="ru-RU"/>
        </w:rPr>
      </w:pPr>
    </w:p>
    <w:p w14:paraId="7B0B3A3B" w14:textId="77777777" w:rsidR="00143D5A" w:rsidRDefault="00143D5A" w:rsidP="000C7BCE">
      <w:pPr>
        <w:spacing w:line="259" w:lineRule="auto"/>
        <w:ind w:right="-285"/>
        <w:rPr>
          <w:rFonts w:eastAsia="Times New Roman" w:cs="Times New Roman"/>
          <w:b/>
          <w:sz w:val="26"/>
          <w:szCs w:val="26"/>
          <w:lang w:val="uk-UA" w:eastAsia="ru-RU"/>
        </w:rPr>
      </w:pPr>
    </w:p>
    <w:p w14:paraId="78C5E48A" w14:textId="77777777" w:rsidR="00143D5A" w:rsidRDefault="00143D5A" w:rsidP="000C7BCE">
      <w:pPr>
        <w:spacing w:line="259" w:lineRule="auto"/>
        <w:ind w:right="-285"/>
        <w:rPr>
          <w:rFonts w:eastAsia="Times New Roman" w:cs="Times New Roman"/>
          <w:b/>
          <w:sz w:val="26"/>
          <w:szCs w:val="26"/>
          <w:lang w:val="uk-UA" w:eastAsia="ru-RU"/>
        </w:rPr>
      </w:pPr>
    </w:p>
    <w:p w14:paraId="5ADD6CC1" w14:textId="77777777" w:rsidR="00143D5A" w:rsidRDefault="00143D5A" w:rsidP="000C7BCE">
      <w:pPr>
        <w:spacing w:line="259" w:lineRule="auto"/>
        <w:ind w:right="-285"/>
        <w:rPr>
          <w:rFonts w:eastAsia="Times New Roman" w:cs="Times New Roman"/>
          <w:b/>
          <w:sz w:val="26"/>
          <w:szCs w:val="26"/>
          <w:lang w:val="uk-UA" w:eastAsia="ru-RU"/>
        </w:rPr>
      </w:pPr>
    </w:p>
    <w:p w14:paraId="7BA2143B" w14:textId="77777777" w:rsidR="00143D5A" w:rsidRDefault="00143D5A" w:rsidP="000C7BCE">
      <w:pPr>
        <w:spacing w:line="259" w:lineRule="auto"/>
        <w:ind w:right="-285"/>
        <w:rPr>
          <w:rFonts w:eastAsia="Times New Roman" w:cs="Times New Roman"/>
          <w:b/>
          <w:sz w:val="26"/>
          <w:szCs w:val="26"/>
          <w:lang w:val="uk-UA" w:eastAsia="ru-RU"/>
        </w:rPr>
      </w:pPr>
    </w:p>
    <w:p w14:paraId="13EF1FC3" w14:textId="77777777" w:rsidR="00143D5A" w:rsidRDefault="00143D5A" w:rsidP="000C7BCE">
      <w:pPr>
        <w:spacing w:line="259" w:lineRule="auto"/>
        <w:ind w:right="-285"/>
        <w:rPr>
          <w:rFonts w:eastAsia="Times New Roman" w:cs="Times New Roman"/>
          <w:b/>
          <w:sz w:val="26"/>
          <w:szCs w:val="26"/>
          <w:lang w:val="uk-UA" w:eastAsia="ru-RU"/>
        </w:rPr>
      </w:pPr>
    </w:p>
    <w:p w14:paraId="57A226EC" w14:textId="77777777" w:rsidR="00143D5A" w:rsidRDefault="00143D5A" w:rsidP="000C7BCE">
      <w:pPr>
        <w:spacing w:line="259" w:lineRule="auto"/>
        <w:ind w:right="-285"/>
        <w:rPr>
          <w:rFonts w:eastAsia="Times New Roman" w:cs="Times New Roman"/>
          <w:b/>
          <w:sz w:val="26"/>
          <w:szCs w:val="26"/>
          <w:lang w:val="uk-UA" w:eastAsia="ru-RU"/>
        </w:rPr>
      </w:pPr>
    </w:p>
    <w:p w14:paraId="02BC1696" w14:textId="77777777" w:rsidR="00143D5A" w:rsidRDefault="00143D5A" w:rsidP="000C7BCE">
      <w:pPr>
        <w:spacing w:line="259" w:lineRule="auto"/>
        <w:ind w:right="-285"/>
        <w:rPr>
          <w:rFonts w:eastAsia="Times New Roman" w:cs="Times New Roman"/>
          <w:b/>
          <w:sz w:val="26"/>
          <w:szCs w:val="26"/>
          <w:lang w:val="uk-UA" w:eastAsia="ru-RU"/>
        </w:rPr>
      </w:pPr>
    </w:p>
    <w:p w14:paraId="04BB2CB9" w14:textId="77777777" w:rsidR="00143D5A" w:rsidRDefault="00143D5A" w:rsidP="000C7BCE">
      <w:pPr>
        <w:spacing w:line="259" w:lineRule="auto"/>
        <w:ind w:right="-285"/>
        <w:rPr>
          <w:rFonts w:eastAsia="Times New Roman" w:cs="Times New Roman"/>
          <w:b/>
          <w:sz w:val="26"/>
          <w:szCs w:val="26"/>
          <w:lang w:val="uk-UA" w:eastAsia="ru-RU"/>
        </w:rPr>
      </w:pPr>
    </w:p>
    <w:p w14:paraId="1BAF597A" w14:textId="77777777" w:rsidR="00143D5A" w:rsidRDefault="00143D5A" w:rsidP="000C7BCE">
      <w:pPr>
        <w:spacing w:line="259" w:lineRule="auto"/>
        <w:ind w:right="-285"/>
        <w:rPr>
          <w:rFonts w:eastAsia="Times New Roman" w:cs="Times New Roman"/>
          <w:b/>
          <w:sz w:val="26"/>
          <w:szCs w:val="26"/>
          <w:lang w:val="uk-UA" w:eastAsia="ru-RU"/>
        </w:rPr>
      </w:pPr>
    </w:p>
    <w:p w14:paraId="3108647E" w14:textId="77777777" w:rsidR="00143D5A" w:rsidRDefault="00143D5A" w:rsidP="000C7BCE">
      <w:pPr>
        <w:spacing w:line="259" w:lineRule="auto"/>
        <w:ind w:right="-285"/>
        <w:rPr>
          <w:rFonts w:eastAsia="Times New Roman" w:cs="Times New Roman"/>
          <w:b/>
          <w:sz w:val="26"/>
          <w:szCs w:val="26"/>
          <w:lang w:val="uk-UA" w:eastAsia="ru-RU"/>
        </w:rPr>
      </w:pPr>
    </w:p>
    <w:p w14:paraId="2A0415CC" w14:textId="77777777" w:rsidR="00143D5A" w:rsidRPr="00143D5A" w:rsidRDefault="00143D5A" w:rsidP="000C7BCE">
      <w:pPr>
        <w:spacing w:line="259" w:lineRule="auto"/>
        <w:ind w:right="-285"/>
        <w:rPr>
          <w:rFonts w:eastAsia="Times New Roman" w:cs="Times New Roman"/>
          <w:b/>
          <w:sz w:val="26"/>
          <w:szCs w:val="26"/>
          <w:lang w:val="uk-UA" w:eastAsia="ru-RU"/>
        </w:rPr>
      </w:pPr>
    </w:p>
    <w:p w14:paraId="79C4F109" w14:textId="77777777" w:rsidR="00D07030" w:rsidRPr="00143D5A" w:rsidRDefault="00D07030" w:rsidP="000C7BCE">
      <w:pPr>
        <w:spacing w:line="259" w:lineRule="auto"/>
        <w:ind w:right="-285"/>
        <w:rPr>
          <w:rFonts w:eastAsia="Times New Roman" w:cs="Times New Roman"/>
          <w:b/>
          <w:sz w:val="26"/>
          <w:szCs w:val="26"/>
          <w:lang w:val="uk-UA" w:eastAsia="ru-RU"/>
        </w:rPr>
      </w:pPr>
    </w:p>
    <w:p w14:paraId="135FD820" w14:textId="1B297724" w:rsidR="00D07030" w:rsidRDefault="00D07030" w:rsidP="000C7BCE">
      <w:pPr>
        <w:spacing w:line="259" w:lineRule="auto"/>
        <w:ind w:right="-285"/>
        <w:rPr>
          <w:rFonts w:eastAsia="Times New Roman" w:cs="Times New Roman"/>
          <w:b/>
          <w:sz w:val="26"/>
          <w:szCs w:val="26"/>
          <w:lang w:val="uk-UA" w:eastAsia="ru-RU"/>
        </w:rPr>
      </w:pPr>
    </w:p>
    <w:p w14:paraId="20CC4F5C" w14:textId="590D4780" w:rsidR="00777AED" w:rsidRDefault="00777AED" w:rsidP="000C7BCE">
      <w:pPr>
        <w:spacing w:line="259" w:lineRule="auto"/>
        <w:ind w:right="-285"/>
        <w:rPr>
          <w:rFonts w:eastAsia="Times New Roman" w:cs="Times New Roman"/>
          <w:b/>
          <w:sz w:val="26"/>
          <w:szCs w:val="26"/>
          <w:lang w:val="uk-UA" w:eastAsia="ru-RU"/>
        </w:rPr>
      </w:pPr>
    </w:p>
    <w:p w14:paraId="6D7CD37D" w14:textId="68CA4204" w:rsidR="00777AED" w:rsidRDefault="00777AED" w:rsidP="000C7BCE">
      <w:pPr>
        <w:spacing w:line="259" w:lineRule="auto"/>
        <w:ind w:right="-285"/>
        <w:rPr>
          <w:rFonts w:eastAsia="Times New Roman" w:cs="Times New Roman"/>
          <w:b/>
          <w:sz w:val="26"/>
          <w:szCs w:val="26"/>
          <w:lang w:val="uk-UA" w:eastAsia="ru-RU"/>
        </w:rPr>
      </w:pPr>
    </w:p>
    <w:p w14:paraId="32538AF7" w14:textId="4A06F4B4" w:rsidR="00777AED" w:rsidRDefault="00777AED" w:rsidP="000C7BCE">
      <w:pPr>
        <w:spacing w:line="259" w:lineRule="auto"/>
        <w:ind w:right="-285"/>
        <w:rPr>
          <w:rFonts w:eastAsia="Times New Roman" w:cs="Times New Roman"/>
          <w:b/>
          <w:sz w:val="26"/>
          <w:szCs w:val="26"/>
          <w:lang w:val="uk-UA" w:eastAsia="ru-RU"/>
        </w:rPr>
      </w:pPr>
    </w:p>
    <w:p w14:paraId="07E68878" w14:textId="320E065D" w:rsidR="00777AED" w:rsidRDefault="00777AED" w:rsidP="000C7BCE">
      <w:pPr>
        <w:spacing w:line="259" w:lineRule="auto"/>
        <w:ind w:right="-285"/>
        <w:rPr>
          <w:rFonts w:eastAsia="Times New Roman" w:cs="Times New Roman"/>
          <w:b/>
          <w:sz w:val="26"/>
          <w:szCs w:val="26"/>
          <w:lang w:val="uk-UA" w:eastAsia="ru-RU"/>
        </w:rPr>
      </w:pPr>
    </w:p>
    <w:p w14:paraId="5F16DC0D" w14:textId="0B04B664" w:rsidR="00777AED" w:rsidRDefault="00777AED" w:rsidP="000C7BCE">
      <w:pPr>
        <w:spacing w:line="259" w:lineRule="auto"/>
        <w:ind w:right="-285"/>
        <w:rPr>
          <w:rFonts w:eastAsia="Times New Roman" w:cs="Times New Roman"/>
          <w:b/>
          <w:sz w:val="26"/>
          <w:szCs w:val="26"/>
          <w:lang w:val="uk-UA" w:eastAsia="ru-RU"/>
        </w:rPr>
      </w:pPr>
    </w:p>
    <w:p w14:paraId="4ED5E1BC" w14:textId="7E41C71B" w:rsidR="00777AED" w:rsidRDefault="00777AED" w:rsidP="000C7BCE">
      <w:pPr>
        <w:spacing w:line="259" w:lineRule="auto"/>
        <w:ind w:right="-285"/>
        <w:rPr>
          <w:rFonts w:eastAsia="Times New Roman" w:cs="Times New Roman"/>
          <w:b/>
          <w:sz w:val="26"/>
          <w:szCs w:val="26"/>
          <w:lang w:val="uk-UA" w:eastAsia="ru-RU"/>
        </w:rPr>
      </w:pPr>
    </w:p>
    <w:p w14:paraId="3C804088" w14:textId="77777777" w:rsidR="00777AED" w:rsidRPr="00143D5A" w:rsidRDefault="00777AED" w:rsidP="000C7BCE">
      <w:pPr>
        <w:spacing w:line="259" w:lineRule="auto"/>
        <w:ind w:right="-285"/>
        <w:rPr>
          <w:rFonts w:eastAsia="Times New Roman" w:cs="Times New Roman"/>
          <w:b/>
          <w:sz w:val="26"/>
          <w:szCs w:val="26"/>
          <w:lang w:val="uk-UA" w:eastAsia="ru-RU"/>
        </w:rPr>
      </w:pPr>
    </w:p>
    <w:p w14:paraId="5EF30A6E" w14:textId="77777777" w:rsidR="00D07030" w:rsidRPr="00143D5A" w:rsidRDefault="00D07030" w:rsidP="000C7BCE">
      <w:pPr>
        <w:spacing w:line="259" w:lineRule="auto"/>
        <w:ind w:right="-285"/>
        <w:rPr>
          <w:rFonts w:eastAsia="Times New Roman" w:cs="Times New Roman"/>
          <w:b/>
          <w:sz w:val="26"/>
          <w:szCs w:val="26"/>
          <w:lang w:val="uk-UA" w:eastAsia="ru-RU"/>
        </w:rPr>
      </w:pPr>
    </w:p>
    <w:p w14:paraId="2CE410C1" w14:textId="77777777" w:rsidR="00D07030" w:rsidRPr="00143D5A" w:rsidRDefault="00D07030" w:rsidP="00D07030">
      <w:pPr>
        <w:shd w:val="clear" w:color="auto" w:fill="FFFFFF" w:themeFill="background1"/>
        <w:spacing w:after="0"/>
        <w:ind w:left="4956" w:firstLine="708"/>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Додаток 1</w:t>
      </w:r>
    </w:p>
    <w:p w14:paraId="44637A14" w14:textId="1F3886A3" w:rsidR="00D07030" w:rsidRPr="00143D5A" w:rsidRDefault="00D07030" w:rsidP="00143D5A">
      <w:pPr>
        <w:shd w:val="clear" w:color="auto" w:fill="FFFFFF" w:themeFill="background1"/>
        <w:spacing w:after="0"/>
        <w:ind w:left="4248"/>
        <w:jc w:val="right"/>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ab/>
        <w:t>до  Положення про облікову політику</w:t>
      </w:r>
    </w:p>
    <w:p w14:paraId="374F336C" w14:textId="77777777"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СТРОКИ</w:t>
      </w:r>
      <w:r w:rsidRPr="00143D5A">
        <w:rPr>
          <w:rFonts w:eastAsia="Times New Roman" w:cs="Times New Roman"/>
          <w:color w:val="000000" w:themeColor="text1"/>
          <w:sz w:val="26"/>
          <w:szCs w:val="26"/>
          <w:lang w:val="uk-UA" w:eastAsia="ru-RU"/>
        </w:rPr>
        <w:br/>
        <w:t>корисного використання основних засобів суб'єктів державного сектору</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412"/>
        <w:gridCol w:w="1733"/>
        <w:gridCol w:w="5524"/>
        <w:gridCol w:w="1985"/>
      </w:tblGrid>
      <w:tr w:rsidR="00D07030" w:rsidRPr="00143D5A" w14:paraId="40FFB3C4" w14:textId="77777777" w:rsidTr="009B30DA">
        <w:trPr>
          <w:trHeight w:val="783"/>
          <w:tblHeader/>
        </w:trPr>
        <w:tc>
          <w:tcPr>
            <w:tcW w:w="0" w:type="auto"/>
            <w:shd w:val="clear" w:color="auto" w:fill="FCFCFC"/>
            <w:vAlign w:val="center"/>
            <w:hideMark/>
          </w:tcPr>
          <w:p w14:paraId="74748E1F"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 з/п</w:t>
            </w:r>
          </w:p>
        </w:tc>
        <w:tc>
          <w:tcPr>
            <w:tcW w:w="1733" w:type="dxa"/>
            <w:shd w:val="clear" w:color="auto" w:fill="FCFCFC"/>
            <w:vAlign w:val="center"/>
            <w:hideMark/>
          </w:tcPr>
          <w:p w14:paraId="367D3DF0"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субрахунку</w:t>
            </w:r>
          </w:p>
        </w:tc>
        <w:tc>
          <w:tcPr>
            <w:tcW w:w="5524" w:type="dxa"/>
            <w:shd w:val="clear" w:color="auto" w:fill="FCFCFC"/>
            <w:vAlign w:val="center"/>
            <w:hideMark/>
          </w:tcPr>
          <w:p w14:paraId="7DBDF1A2"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підгрупи</w:t>
            </w:r>
          </w:p>
        </w:tc>
        <w:tc>
          <w:tcPr>
            <w:tcW w:w="1985" w:type="dxa"/>
            <w:shd w:val="clear" w:color="auto" w:fill="FCFCFC"/>
            <w:vAlign w:val="center"/>
            <w:hideMark/>
          </w:tcPr>
          <w:p w14:paraId="7AEBBEB2"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Строк корисного використання, років</w:t>
            </w:r>
          </w:p>
        </w:tc>
      </w:tr>
      <w:tr w:rsidR="00D07030" w:rsidRPr="00143D5A" w14:paraId="13F016B9" w14:textId="77777777" w:rsidTr="009B30DA">
        <w:trPr>
          <w:trHeight w:val="1519"/>
        </w:trPr>
        <w:tc>
          <w:tcPr>
            <w:tcW w:w="0" w:type="auto"/>
            <w:vMerge w:val="restart"/>
            <w:shd w:val="clear" w:color="auto" w:fill="FCFCFC"/>
            <w:vAlign w:val="center"/>
            <w:hideMark/>
          </w:tcPr>
          <w:p w14:paraId="2CA03ED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w:t>
            </w:r>
          </w:p>
        </w:tc>
        <w:tc>
          <w:tcPr>
            <w:tcW w:w="1733" w:type="dxa"/>
            <w:vMerge w:val="restart"/>
            <w:shd w:val="clear" w:color="auto" w:fill="FCFCFC"/>
            <w:vAlign w:val="center"/>
            <w:hideMark/>
          </w:tcPr>
          <w:p w14:paraId="1A97B9B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Будинки та споруди</w:t>
            </w:r>
          </w:p>
        </w:tc>
        <w:tc>
          <w:tcPr>
            <w:tcW w:w="5524" w:type="dxa"/>
            <w:shd w:val="clear" w:color="auto" w:fill="FCFCFC"/>
            <w:vAlign w:val="center"/>
            <w:hideMark/>
          </w:tcPr>
          <w:p w14:paraId="49BD564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 xml:space="preserve">Будинки виробничо-господарського призначення (підгрупа 1): </w:t>
            </w:r>
          </w:p>
          <w:p w14:paraId="7FA31091"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 плівкових матеріалів, збірно-розбірні, пересувні, кіоски, ларьки, альтанки тощо</w:t>
            </w:r>
          </w:p>
        </w:tc>
        <w:tc>
          <w:tcPr>
            <w:tcW w:w="1985" w:type="dxa"/>
            <w:shd w:val="clear" w:color="auto" w:fill="FCFCFC"/>
            <w:vAlign w:val="center"/>
            <w:hideMark/>
          </w:tcPr>
          <w:p w14:paraId="2DBF8EC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p>
          <w:p w14:paraId="28D524C3"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6A45E104" w14:textId="77777777" w:rsidTr="009B30DA">
        <w:tc>
          <w:tcPr>
            <w:tcW w:w="0" w:type="auto"/>
            <w:vMerge/>
            <w:shd w:val="clear" w:color="auto" w:fill="FCFCFC"/>
            <w:vAlign w:val="center"/>
            <w:hideMark/>
          </w:tcPr>
          <w:p w14:paraId="7CA46E6D"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4B2D46C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30131D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дерев'яні, каркасні і щитові, контейнерні, дерево-металеві, каркасно-обшивні і панельні, глинобитні, сирцеві, саманові та інші аналогічні</w:t>
            </w:r>
          </w:p>
        </w:tc>
        <w:tc>
          <w:tcPr>
            <w:tcW w:w="1985" w:type="dxa"/>
            <w:shd w:val="clear" w:color="auto" w:fill="FCFCFC"/>
            <w:vAlign w:val="center"/>
            <w:hideMark/>
          </w:tcPr>
          <w:p w14:paraId="7FE0B32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41121B44" w14:textId="77777777" w:rsidTr="009B30DA">
        <w:tc>
          <w:tcPr>
            <w:tcW w:w="0" w:type="auto"/>
            <w:vMerge/>
            <w:shd w:val="clear" w:color="auto" w:fill="FCFCFC"/>
            <w:vAlign w:val="center"/>
            <w:hideMark/>
          </w:tcPr>
          <w:p w14:paraId="15D64E6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598B0AED"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62F1EC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без каркасів зі стінами полегшеної кам'яної кладки, залізобетонними, цегляними і дерев'яними колонами та стовпами, із залізобетонними, дерев'яними та іншими перекриттями; дерев'яні з брущатими або зробленими з колод рубаними стінами</w:t>
            </w:r>
          </w:p>
        </w:tc>
        <w:tc>
          <w:tcPr>
            <w:tcW w:w="1985" w:type="dxa"/>
            <w:shd w:val="clear" w:color="auto" w:fill="FCFCFC"/>
            <w:vAlign w:val="center"/>
            <w:hideMark/>
          </w:tcPr>
          <w:p w14:paraId="18BDB69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25</w:t>
            </w:r>
          </w:p>
        </w:tc>
      </w:tr>
      <w:tr w:rsidR="00D07030" w:rsidRPr="00143D5A" w14:paraId="4049D22C" w14:textId="77777777" w:rsidTr="009B30DA">
        <w:tc>
          <w:tcPr>
            <w:tcW w:w="0" w:type="auto"/>
            <w:vMerge/>
            <w:shd w:val="clear" w:color="auto" w:fill="FCFCFC"/>
            <w:vAlign w:val="center"/>
            <w:hideMark/>
          </w:tcPr>
          <w:p w14:paraId="6EACCED3"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6876DA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486D3B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із залізобетонними і металевими каркасами, зі стінами з кам'яних матеріалів, великих блоків і панелей, із залізобетонними, металевими, іншими довговічними покриттями та інші некласифіковані</w:t>
            </w:r>
          </w:p>
        </w:tc>
        <w:tc>
          <w:tcPr>
            <w:tcW w:w="1985" w:type="dxa"/>
            <w:shd w:val="clear" w:color="auto" w:fill="FCFCFC"/>
            <w:vAlign w:val="center"/>
            <w:hideMark/>
          </w:tcPr>
          <w:p w14:paraId="0375264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0C482A84" w14:textId="77777777" w:rsidTr="009B30DA">
        <w:tc>
          <w:tcPr>
            <w:tcW w:w="0" w:type="auto"/>
            <w:vMerge/>
            <w:shd w:val="clear" w:color="auto" w:fill="FCFCFC"/>
            <w:vAlign w:val="center"/>
            <w:hideMark/>
          </w:tcPr>
          <w:p w14:paraId="6B10C92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E02084D"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F056D1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Будинки, що повністю чи переважно призначені для проживання (підгрупа 2): каркасно-комишитові та інші полегшені</w:t>
            </w:r>
          </w:p>
        </w:tc>
        <w:tc>
          <w:tcPr>
            <w:tcW w:w="1985" w:type="dxa"/>
            <w:shd w:val="clear" w:color="auto" w:fill="FCFCFC"/>
            <w:vAlign w:val="center"/>
            <w:hideMark/>
          </w:tcPr>
          <w:p w14:paraId="7E3682E3"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15</w:t>
            </w:r>
          </w:p>
        </w:tc>
      </w:tr>
      <w:tr w:rsidR="00D07030" w:rsidRPr="00143D5A" w14:paraId="474AEE38" w14:textId="77777777" w:rsidTr="009B30DA">
        <w:tc>
          <w:tcPr>
            <w:tcW w:w="0" w:type="auto"/>
            <w:vMerge/>
            <w:shd w:val="clear" w:color="auto" w:fill="FCFCFC"/>
            <w:vAlign w:val="center"/>
            <w:hideMark/>
          </w:tcPr>
          <w:p w14:paraId="4793BAB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96F7B4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4D99A2E"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сирцеві, збірно-щитові, каркасно-засипні, глинобитні, саманові</w:t>
            </w:r>
          </w:p>
        </w:tc>
        <w:tc>
          <w:tcPr>
            <w:tcW w:w="1985" w:type="dxa"/>
            <w:shd w:val="clear" w:color="auto" w:fill="FCFCFC"/>
            <w:vAlign w:val="center"/>
            <w:hideMark/>
          </w:tcPr>
          <w:p w14:paraId="7AFC977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09B01984" w14:textId="77777777" w:rsidTr="009B30DA">
        <w:tc>
          <w:tcPr>
            <w:tcW w:w="0" w:type="auto"/>
            <w:vMerge/>
            <w:shd w:val="clear" w:color="auto" w:fill="FCFCFC"/>
            <w:vAlign w:val="center"/>
            <w:hideMark/>
          </w:tcPr>
          <w:p w14:paraId="20A1B34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667C24C"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595C21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некласифіковані</w:t>
            </w:r>
          </w:p>
        </w:tc>
        <w:tc>
          <w:tcPr>
            <w:tcW w:w="1985" w:type="dxa"/>
            <w:shd w:val="clear" w:color="auto" w:fill="FCFCFC"/>
            <w:vAlign w:val="center"/>
            <w:hideMark/>
          </w:tcPr>
          <w:p w14:paraId="5D43B62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451B6213" w14:textId="77777777" w:rsidTr="009B30DA">
        <w:tc>
          <w:tcPr>
            <w:tcW w:w="0" w:type="auto"/>
            <w:vMerge/>
            <w:shd w:val="clear" w:color="auto" w:fill="FCFCFC"/>
            <w:vAlign w:val="center"/>
            <w:hideMark/>
          </w:tcPr>
          <w:p w14:paraId="43CF8F8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CC21F30"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E33328E"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Водокачки, стадіони, басейни, дороги, мости, пам'ятники, загорожі парків, скверів і загальних садів тощо (підгрупа 3)</w:t>
            </w:r>
          </w:p>
        </w:tc>
        <w:tc>
          <w:tcPr>
            <w:tcW w:w="1985" w:type="dxa"/>
            <w:shd w:val="clear" w:color="auto" w:fill="FCFCFC"/>
            <w:vAlign w:val="center"/>
            <w:hideMark/>
          </w:tcPr>
          <w:p w14:paraId="5D273B5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5F2594AE" w14:textId="77777777" w:rsidTr="009B30DA">
        <w:tc>
          <w:tcPr>
            <w:tcW w:w="0" w:type="auto"/>
            <w:vMerge/>
            <w:shd w:val="clear" w:color="auto" w:fill="FCFCFC"/>
            <w:vAlign w:val="center"/>
            <w:hideMark/>
          </w:tcPr>
          <w:p w14:paraId="468E4FF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5C9E812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7CCDD5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 xml:space="preserve">Лінії електропередач, трансмісії та трубопроводи з усіма проміжними пристроями, необхідними для трансформації (перетворення) і </w:t>
            </w:r>
            <w:r w:rsidRPr="00143D5A">
              <w:rPr>
                <w:rFonts w:eastAsia="Times New Roman" w:cs="Times New Roman"/>
                <w:color w:val="000000" w:themeColor="text1"/>
                <w:sz w:val="26"/>
                <w:szCs w:val="26"/>
                <w:lang w:val="uk-UA" w:eastAsia="ru-RU"/>
              </w:rPr>
              <w:lastRenderedPageBreak/>
              <w:t>передачі енергії та для переміщення трубопроводами рідких та газоподібних речовин до споживача (підгрупа 4)</w:t>
            </w:r>
          </w:p>
        </w:tc>
        <w:tc>
          <w:tcPr>
            <w:tcW w:w="1985" w:type="dxa"/>
            <w:shd w:val="clear" w:color="auto" w:fill="FCFCFC"/>
            <w:vAlign w:val="center"/>
            <w:hideMark/>
          </w:tcPr>
          <w:p w14:paraId="1954A40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20</w:t>
            </w:r>
          </w:p>
        </w:tc>
      </w:tr>
      <w:tr w:rsidR="00D07030" w:rsidRPr="00143D5A" w14:paraId="4DBFF60B" w14:textId="77777777" w:rsidTr="009B30DA">
        <w:tc>
          <w:tcPr>
            <w:tcW w:w="0" w:type="auto"/>
            <w:vMerge/>
            <w:shd w:val="clear" w:color="auto" w:fill="FCFCFC"/>
            <w:vAlign w:val="center"/>
            <w:hideMark/>
          </w:tcPr>
          <w:p w14:paraId="3FC5C5E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21452D7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75ED26A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у тому числі канали, дамби, водозахисні об'єкти, колекторно-дренажні мережі, водомірні пости та інші споруди (підгрупа 5): греблі бетонні, залізобетонні, кам'яні, земляні, тунелі, водоскиди і водоприймачі, акведуки, лотки, дюкери і водопровідні споруди, рибопропускні і рибозахисні споруди, напірні трубопроводи</w:t>
            </w:r>
          </w:p>
        </w:tc>
        <w:tc>
          <w:tcPr>
            <w:tcW w:w="1985" w:type="dxa"/>
            <w:shd w:val="clear" w:color="auto" w:fill="FCFCFC"/>
            <w:vAlign w:val="center"/>
            <w:hideMark/>
          </w:tcPr>
          <w:p w14:paraId="25F1F13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7E9111FF" w14:textId="77777777" w:rsidTr="009B30DA">
        <w:tc>
          <w:tcPr>
            <w:tcW w:w="0" w:type="auto"/>
            <w:vMerge/>
            <w:shd w:val="clear" w:color="auto" w:fill="FCFCFC"/>
            <w:vAlign w:val="center"/>
            <w:hideMark/>
          </w:tcPr>
          <w:p w14:paraId="584ED1C5"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2D2613C"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3BE91F8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берегоукріплювальні та берегозахисні споруди залізобетонні, бетонні, кам'яні</w:t>
            </w:r>
          </w:p>
        </w:tc>
        <w:tc>
          <w:tcPr>
            <w:tcW w:w="1985" w:type="dxa"/>
            <w:shd w:val="clear" w:color="auto" w:fill="FCFCFC"/>
            <w:vAlign w:val="center"/>
            <w:hideMark/>
          </w:tcPr>
          <w:p w14:paraId="796A502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14:paraId="325C1C92" w14:textId="77777777" w:rsidTr="009B30DA">
        <w:tc>
          <w:tcPr>
            <w:tcW w:w="0" w:type="auto"/>
            <w:vMerge/>
            <w:shd w:val="clear" w:color="auto" w:fill="FCFCFC"/>
            <w:vAlign w:val="center"/>
            <w:hideMark/>
          </w:tcPr>
          <w:p w14:paraId="1E6C6856"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3FEB791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7915CFE"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дерев'яні</w:t>
            </w:r>
          </w:p>
        </w:tc>
        <w:tc>
          <w:tcPr>
            <w:tcW w:w="1985" w:type="dxa"/>
            <w:shd w:val="clear" w:color="auto" w:fill="FCFCFC"/>
            <w:vAlign w:val="center"/>
            <w:hideMark/>
          </w:tcPr>
          <w:p w14:paraId="2EA95CD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6EB08EFA" w14:textId="77777777" w:rsidTr="009B30DA">
        <w:tc>
          <w:tcPr>
            <w:tcW w:w="0" w:type="auto"/>
            <w:vMerge/>
            <w:shd w:val="clear" w:color="auto" w:fill="FCFCFC"/>
            <w:vAlign w:val="center"/>
            <w:hideMark/>
          </w:tcPr>
          <w:p w14:paraId="12C0CCCE"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97DC46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38E4FE9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водосховища при земляних дамбах</w:t>
            </w:r>
          </w:p>
        </w:tc>
        <w:tc>
          <w:tcPr>
            <w:tcW w:w="1985" w:type="dxa"/>
            <w:shd w:val="clear" w:color="auto" w:fill="FCFCFC"/>
            <w:vAlign w:val="center"/>
            <w:hideMark/>
          </w:tcPr>
          <w:p w14:paraId="44077F6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549E5380" w14:textId="77777777" w:rsidTr="009B30DA">
        <w:tc>
          <w:tcPr>
            <w:tcW w:w="0" w:type="auto"/>
            <w:vMerge/>
            <w:shd w:val="clear" w:color="auto" w:fill="FCFCFC"/>
            <w:vAlign w:val="center"/>
            <w:hideMark/>
          </w:tcPr>
          <w:p w14:paraId="0669FBDE"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2AF02E9E"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5B393B5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водоскиди і водовипуски при ставках: бетонні та залізобетонні</w:t>
            </w:r>
          </w:p>
        </w:tc>
        <w:tc>
          <w:tcPr>
            <w:tcW w:w="1985" w:type="dxa"/>
            <w:shd w:val="clear" w:color="auto" w:fill="FCFCFC"/>
            <w:vAlign w:val="center"/>
            <w:hideMark/>
          </w:tcPr>
          <w:p w14:paraId="3DA74211"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14:paraId="0E830335" w14:textId="77777777" w:rsidTr="009B30DA">
        <w:tc>
          <w:tcPr>
            <w:tcW w:w="0" w:type="auto"/>
            <w:vMerge/>
            <w:shd w:val="clear" w:color="auto" w:fill="FCFCFC"/>
            <w:vAlign w:val="center"/>
            <w:hideMark/>
          </w:tcPr>
          <w:p w14:paraId="58F640B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A1DD045"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64CBE9D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дерев'яні</w:t>
            </w:r>
          </w:p>
        </w:tc>
        <w:tc>
          <w:tcPr>
            <w:tcW w:w="1985" w:type="dxa"/>
            <w:shd w:val="clear" w:color="auto" w:fill="FCFCFC"/>
            <w:vAlign w:val="center"/>
            <w:hideMark/>
          </w:tcPr>
          <w:p w14:paraId="7DD5CF6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2DB2289B" w14:textId="77777777" w:rsidTr="009B30DA">
        <w:tc>
          <w:tcPr>
            <w:tcW w:w="0" w:type="auto"/>
            <w:vMerge/>
            <w:shd w:val="clear" w:color="auto" w:fill="FCFCFC"/>
            <w:vAlign w:val="center"/>
            <w:hideMark/>
          </w:tcPr>
          <w:p w14:paraId="531EB8B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5CA1CBC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613761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на каналах (шлюзи-регулятори, мости-відводи, дюкери, у тому числі стальні, акведуки, водоскиди кам'яні, бетонні і залізобетонні та інше)</w:t>
            </w:r>
          </w:p>
        </w:tc>
        <w:tc>
          <w:tcPr>
            <w:tcW w:w="1985" w:type="dxa"/>
            <w:shd w:val="clear" w:color="auto" w:fill="FCFCFC"/>
            <w:vAlign w:val="center"/>
            <w:hideMark/>
          </w:tcPr>
          <w:p w14:paraId="73A5762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14:paraId="7028EB56" w14:textId="77777777" w:rsidTr="009B30DA">
        <w:tc>
          <w:tcPr>
            <w:tcW w:w="0" w:type="auto"/>
            <w:vMerge/>
            <w:shd w:val="clear" w:color="auto" w:fill="FCFCFC"/>
            <w:vAlign w:val="center"/>
            <w:hideMark/>
          </w:tcPr>
          <w:p w14:paraId="26CCA0F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13472734"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BB7ADB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зрошувальна і осушувальна мережа: канали земляні без облицювання, канали, облицьовані каменем, бетоном, залізобетоном; водозбірно-скидна мережа із відкритих земляних каналів; колекторно-дренажні земляні канали без кріплення</w:t>
            </w:r>
          </w:p>
        </w:tc>
        <w:tc>
          <w:tcPr>
            <w:tcW w:w="1985" w:type="dxa"/>
            <w:shd w:val="clear" w:color="auto" w:fill="FCFCFC"/>
            <w:vAlign w:val="center"/>
            <w:hideMark/>
          </w:tcPr>
          <w:p w14:paraId="4090055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14:paraId="50B14BF4" w14:textId="77777777" w:rsidTr="009B30DA">
        <w:tc>
          <w:tcPr>
            <w:tcW w:w="0" w:type="auto"/>
            <w:vMerge/>
            <w:shd w:val="clear" w:color="auto" w:fill="FCFCFC"/>
            <w:vAlign w:val="center"/>
            <w:hideMark/>
          </w:tcPr>
          <w:p w14:paraId="6CD9263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19B31FD"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9D9B16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закрита колекторно-дренажна мережа: канали із азбестоцементних труб</w:t>
            </w:r>
          </w:p>
        </w:tc>
        <w:tc>
          <w:tcPr>
            <w:tcW w:w="1985" w:type="dxa"/>
            <w:shd w:val="clear" w:color="auto" w:fill="FCFCFC"/>
            <w:vAlign w:val="center"/>
            <w:hideMark/>
          </w:tcPr>
          <w:p w14:paraId="4F782F0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14:paraId="1326CFA2" w14:textId="77777777" w:rsidTr="009B30DA">
        <w:tc>
          <w:tcPr>
            <w:tcW w:w="0" w:type="auto"/>
            <w:vMerge/>
            <w:shd w:val="clear" w:color="auto" w:fill="FCFCFC"/>
            <w:vAlign w:val="center"/>
            <w:hideMark/>
          </w:tcPr>
          <w:p w14:paraId="3CBBA7C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61F8855"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2BDE9F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канали із гончарних труб</w:t>
            </w:r>
          </w:p>
        </w:tc>
        <w:tc>
          <w:tcPr>
            <w:tcW w:w="1985" w:type="dxa"/>
            <w:shd w:val="clear" w:color="auto" w:fill="FCFCFC"/>
            <w:vAlign w:val="center"/>
            <w:hideMark/>
          </w:tcPr>
          <w:p w14:paraId="4AC56E5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440D0515" w14:textId="77777777" w:rsidTr="009B30DA">
        <w:tc>
          <w:tcPr>
            <w:tcW w:w="0" w:type="auto"/>
            <w:vMerge/>
            <w:shd w:val="clear" w:color="auto" w:fill="FCFCFC"/>
            <w:vAlign w:val="center"/>
            <w:hideMark/>
          </w:tcPr>
          <w:p w14:paraId="52F8440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1956BA0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F2A7CB3"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канали із пластмасових труб</w:t>
            </w:r>
          </w:p>
        </w:tc>
        <w:tc>
          <w:tcPr>
            <w:tcW w:w="1985" w:type="dxa"/>
            <w:shd w:val="clear" w:color="auto" w:fill="FCFCFC"/>
            <w:vAlign w:val="center"/>
            <w:hideMark/>
          </w:tcPr>
          <w:p w14:paraId="0BFEABA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22F95ABE" w14:textId="77777777" w:rsidTr="009B30DA">
        <w:tc>
          <w:tcPr>
            <w:tcW w:w="0" w:type="auto"/>
            <w:vMerge/>
            <w:shd w:val="clear" w:color="auto" w:fill="FCFCFC"/>
            <w:vAlign w:val="center"/>
            <w:hideMark/>
          </w:tcPr>
          <w:p w14:paraId="4288CC6C"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1517244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33D67CF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водомірні пости</w:t>
            </w:r>
          </w:p>
        </w:tc>
        <w:tc>
          <w:tcPr>
            <w:tcW w:w="1985" w:type="dxa"/>
            <w:shd w:val="clear" w:color="auto" w:fill="FCFCFC"/>
            <w:vAlign w:val="center"/>
            <w:hideMark/>
          </w:tcPr>
          <w:p w14:paraId="468622F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5D7E3D99" w14:textId="77777777" w:rsidTr="009B30DA">
        <w:tc>
          <w:tcPr>
            <w:tcW w:w="0" w:type="auto"/>
            <w:vMerge w:val="restart"/>
            <w:shd w:val="clear" w:color="auto" w:fill="FCFCFC"/>
            <w:vAlign w:val="center"/>
            <w:hideMark/>
          </w:tcPr>
          <w:p w14:paraId="531AF726"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w:t>
            </w:r>
          </w:p>
        </w:tc>
        <w:tc>
          <w:tcPr>
            <w:tcW w:w="1733" w:type="dxa"/>
            <w:vMerge w:val="restart"/>
            <w:shd w:val="clear" w:color="auto" w:fill="FCFCFC"/>
            <w:vAlign w:val="center"/>
            <w:hideMark/>
          </w:tcPr>
          <w:p w14:paraId="4C885BA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Машини та обладнання</w:t>
            </w:r>
          </w:p>
        </w:tc>
        <w:tc>
          <w:tcPr>
            <w:tcW w:w="5524" w:type="dxa"/>
            <w:shd w:val="clear" w:color="auto" w:fill="FCFCFC"/>
            <w:vAlign w:val="center"/>
            <w:hideMark/>
          </w:tcPr>
          <w:p w14:paraId="262FD56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Вимірювальні прилади, регулюючі прилади і пристрої, лабораторне обладнання, обчислювальна техніка, медичне обладнання, інші машини та обладнання (підгрупи 3 - 8)</w:t>
            </w:r>
          </w:p>
        </w:tc>
        <w:tc>
          <w:tcPr>
            <w:tcW w:w="1985" w:type="dxa"/>
            <w:shd w:val="clear" w:color="auto" w:fill="FCFCFC"/>
            <w:vAlign w:val="center"/>
            <w:hideMark/>
          </w:tcPr>
          <w:p w14:paraId="141AA6D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3B52C196" w14:textId="77777777" w:rsidTr="009B30DA">
        <w:tc>
          <w:tcPr>
            <w:tcW w:w="0" w:type="auto"/>
            <w:vMerge/>
            <w:shd w:val="clear" w:color="auto" w:fill="FCFCFC"/>
            <w:vAlign w:val="center"/>
            <w:hideMark/>
          </w:tcPr>
          <w:p w14:paraId="4F0DEDB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465B58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CF3299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Робочі машини та обладнання (підгрупа 2)</w:t>
            </w:r>
          </w:p>
        </w:tc>
        <w:tc>
          <w:tcPr>
            <w:tcW w:w="1985" w:type="dxa"/>
            <w:shd w:val="clear" w:color="auto" w:fill="FCFCFC"/>
            <w:vAlign w:val="center"/>
            <w:hideMark/>
          </w:tcPr>
          <w:p w14:paraId="0790066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15</w:t>
            </w:r>
          </w:p>
        </w:tc>
      </w:tr>
      <w:tr w:rsidR="00D07030" w:rsidRPr="00143D5A" w14:paraId="23AE8230" w14:textId="77777777" w:rsidTr="009B30DA">
        <w:tc>
          <w:tcPr>
            <w:tcW w:w="0" w:type="auto"/>
            <w:vMerge/>
            <w:shd w:val="clear" w:color="auto" w:fill="FCFCFC"/>
            <w:vAlign w:val="center"/>
            <w:hideMark/>
          </w:tcPr>
          <w:p w14:paraId="70D9705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0B83D3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711E91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Силові машини та обладнання (підгрупа 1)</w:t>
            </w:r>
          </w:p>
        </w:tc>
        <w:tc>
          <w:tcPr>
            <w:tcW w:w="1985" w:type="dxa"/>
            <w:shd w:val="clear" w:color="auto" w:fill="FCFCFC"/>
            <w:vAlign w:val="center"/>
            <w:hideMark/>
          </w:tcPr>
          <w:p w14:paraId="2528A77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1628D7D1" w14:textId="77777777" w:rsidTr="009B30DA">
        <w:tc>
          <w:tcPr>
            <w:tcW w:w="0" w:type="auto"/>
            <w:vMerge w:val="restart"/>
            <w:shd w:val="clear" w:color="auto" w:fill="FCFCFC"/>
            <w:vAlign w:val="center"/>
            <w:hideMark/>
          </w:tcPr>
          <w:p w14:paraId="78C5371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3</w:t>
            </w:r>
          </w:p>
        </w:tc>
        <w:tc>
          <w:tcPr>
            <w:tcW w:w="1733" w:type="dxa"/>
            <w:vMerge w:val="restart"/>
            <w:shd w:val="clear" w:color="auto" w:fill="FCFCFC"/>
            <w:vAlign w:val="center"/>
            <w:hideMark/>
          </w:tcPr>
          <w:p w14:paraId="40E03EE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Транспортні засоби</w:t>
            </w:r>
          </w:p>
        </w:tc>
        <w:tc>
          <w:tcPr>
            <w:tcW w:w="5524" w:type="dxa"/>
            <w:shd w:val="clear" w:color="auto" w:fill="FCFCFC"/>
            <w:vAlign w:val="center"/>
            <w:hideMark/>
          </w:tcPr>
          <w:p w14:paraId="75DA2F5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Рухомий склад залізничного, повітряного та іншого транспорту (підгрупи 1 - 2)</w:t>
            </w:r>
          </w:p>
        </w:tc>
        <w:tc>
          <w:tcPr>
            <w:tcW w:w="1985" w:type="dxa"/>
            <w:shd w:val="clear" w:color="auto" w:fill="FCFCFC"/>
            <w:vAlign w:val="center"/>
            <w:hideMark/>
          </w:tcPr>
          <w:p w14:paraId="4E57B78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57AA076A" w14:textId="77777777" w:rsidTr="009B30DA">
        <w:tc>
          <w:tcPr>
            <w:tcW w:w="0" w:type="auto"/>
            <w:vMerge/>
            <w:shd w:val="clear" w:color="auto" w:fill="FCFCFC"/>
            <w:vAlign w:val="center"/>
            <w:hideMark/>
          </w:tcPr>
          <w:p w14:paraId="37EC269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992765A"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2D35DA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Корпуси та причепи автомобілів (підгрупа 1)</w:t>
            </w:r>
          </w:p>
        </w:tc>
        <w:tc>
          <w:tcPr>
            <w:tcW w:w="1985" w:type="dxa"/>
            <w:shd w:val="clear" w:color="auto" w:fill="FCFCFC"/>
            <w:vAlign w:val="center"/>
            <w:hideMark/>
          </w:tcPr>
          <w:p w14:paraId="01BD567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7A718435" w14:textId="77777777" w:rsidTr="009B30DA">
        <w:tc>
          <w:tcPr>
            <w:tcW w:w="0" w:type="auto"/>
            <w:vMerge/>
            <w:shd w:val="clear" w:color="auto" w:fill="FCFCFC"/>
            <w:vAlign w:val="center"/>
            <w:hideMark/>
          </w:tcPr>
          <w:p w14:paraId="30EB609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50E5796A"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E6FBB51"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Автомобілі легкові з двигуном внутрішнього згорання об'ємом циліндра (підгрупа 1): до 2500 см куб.</w:t>
            </w:r>
          </w:p>
        </w:tc>
        <w:tc>
          <w:tcPr>
            <w:tcW w:w="1985" w:type="dxa"/>
            <w:shd w:val="clear" w:color="auto" w:fill="FCFCFC"/>
            <w:vAlign w:val="center"/>
            <w:hideMark/>
          </w:tcPr>
          <w:p w14:paraId="6F71C3C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6C50502E" w14:textId="77777777" w:rsidTr="009B30DA">
        <w:tc>
          <w:tcPr>
            <w:tcW w:w="0" w:type="auto"/>
            <w:vMerge/>
            <w:shd w:val="clear" w:color="auto" w:fill="FCFCFC"/>
            <w:vAlign w:val="center"/>
            <w:hideMark/>
          </w:tcPr>
          <w:p w14:paraId="6FE9E574"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B148B3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5E2EF6AE"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більше 2500 см куб. та інші</w:t>
            </w:r>
          </w:p>
        </w:tc>
        <w:tc>
          <w:tcPr>
            <w:tcW w:w="1985" w:type="dxa"/>
            <w:shd w:val="clear" w:color="auto" w:fill="FCFCFC"/>
            <w:vAlign w:val="center"/>
            <w:hideMark/>
          </w:tcPr>
          <w:p w14:paraId="4ABA68B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162579F6" w14:textId="77777777" w:rsidTr="009B30DA">
        <w:tc>
          <w:tcPr>
            <w:tcW w:w="0" w:type="auto"/>
            <w:vMerge/>
            <w:shd w:val="clear" w:color="auto" w:fill="FCFCFC"/>
            <w:vAlign w:val="center"/>
            <w:hideMark/>
          </w:tcPr>
          <w:p w14:paraId="6020DFC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835EB3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778DD54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Автомобілі вантажні (підгрупа 1): вантажопідйомністю до 5 т</w:t>
            </w:r>
          </w:p>
        </w:tc>
        <w:tc>
          <w:tcPr>
            <w:tcW w:w="1985" w:type="dxa"/>
            <w:shd w:val="clear" w:color="auto" w:fill="FCFCFC"/>
            <w:vAlign w:val="center"/>
            <w:hideMark/>
          </w:tcPr>
          <w:p w14:paraId="173CE4E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5FD2C592" w14:textId="77777777" w:rsidTr="009B30DA">
        <w:tc>
          <w:tcPr>
            <w:tcW w:w="0" w:type="auto"/>
            <w:vMerge/>
            <w:shd w:val="clear" w:color="auto" w:fill="FCFCFC"/>
            <w:vAlign w:val="center"/>
            <w:hideMark/>
          </w:tcPr>
          <w:p w14:paraId="36C48D43"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2D6C145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6550EA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вантажопідйомністю від 5 т до 20 т</w:t>
            </w:r>
          </w:p>
        </w:tc>
        <w:tc>
          <w:tcPr>
            <w:tcW w:w="1985" w:type="dxa"/>
            <w:shd w:val="clear" w:color="auto" w:fill="FCFCFC"/>
            <w:vAlign w:val="center"/>
            <w:hideMark/>
          </w:tcPr>
          <w:p w14:paraId="281F9CE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33D6E215" w14:textId="77777777" w:rsidTr="009B30DA">
        <w:tc>
          <w:tcPr>
            <w:tcW w:w="0" w:type="auto"/>
            <w:vMerge/>
            <w:shd w:val="clear" w:color="auto" w:fill="FCFCFC"/>
            <w:vAlign w:val="center"/>
            <w:hideMark/>
          </w:tcPr>
          <w:p w14:paraId="33F25DB6"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401E9A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086CAF8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вантажопідйомністю більше 20 т та інші</w:t>
            </w:r>
          </w:p>
        </w:tc>
        <w:tc>
          <w:tcPr>
            <w:tcW w:w="1985" w:type="dxa"/>
            <w:shd w:val="clear" w:color="auto" w:fill="FCFCFC"/>
            <w:vAlign w:val="center"/>
            <w:hideMark/>
          </w:tcPr>
          <w:p w14:paraId="4C960F5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7E52D2D6" w14:textId="77777777" w:rsidTr="009B30DA">
        <w:tc>
          <w:tcPr>
            <w:tcW w:w="0" w:type="auto"/>
            <w:vMerge/>
            <w:shd w:val="clear" w:color="auto" w:fill="FCFCFC"/>
            <w:vAlign w:val="center"/>
            <w:hideMark/>
          </w:tcPr>
          <w:p w14:paraId="55AC0DEE"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449F362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2AEE70E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Автобуси з двигуном внутрішнього згорання об'ємом циліндра (підгрупа 1): до 2800 см куб.</w:t>
            </w:r>
          </w:p>
        </w:tc>
        <w:tc>
          <w:tcPr>
            <w:tcW w:w="1985" w:type="dxa"/>
            <w:shd w:val="clear" w:color="auto" w:fill="FCFCFC"/>
            <w:vAlign w:val="center"/>
            <w:hideMark/>
          </w:tcPr>
          <w:p w14:paraId="186F3BB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0A35030F" w14:textId="77777777" w:rsidTr="009B30DA">
        <w:tc>
          <w:tcPr>
            <w:tcW w:w="0" w:type="auto"/>
            <w:vMerge/>
            <w:shd w:val="clear" w:color="auto" w:fill="FCFCFC"/>
            <w:vAlign w:val="center"/>
            <w:hideMark/>
          </w:tcPr>
          <w:p w14:paraId="4A6F6982"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2F2F6D2E"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497C461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понад 2800 см куб. та інші</w:t>
            </w:r>
          </w:p>
        </w:tc>
        <w:tc>
          <w:tcPr>
            <w:tcW w:w="1985" w:type="dxa"/>
            <w:shd w:val="clear" w:color="auto" w:fill="FCFCFC"/>
            <w:vAlign w:val="center"/>
            <w:hideMark/>
          </w:tcPr>
          <w:p w14:paraId="3F99CC0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4A637BE4" w14:textId="77777777" w:rsidTr="009B30DA">
        <w:tc>
          <w:tcPr>
            <w:tcW w:w="0" w:type="auto"/>
            <w:vMerge/>
            <w:shd w:val="clear" w:color="auto" w:fill="FCFCFC"/>
            <w:vAlign w:val="center"/>
            <w:hideMark/>
          </w:tcPr>
          <w:p w14:paraId="2EC31A1C"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DCD7ED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F87A95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Усі види гужового, виробничого та спортивного транспорту (підгрупи 3 - 5)</w:t>
            </w:r>
          </w:p>
        </w:tc>
        <w:tc>
          <w:tcPr>
            <w:tcW w:w="1985" w:type="dxa"/>
            <w:shd w:val="clear" w:color="auto" w:fill="FCFCFC"/>
            <w:vAlign w:val="center"/>
            <w:hideMark/>
          </w:tcPr>
          <w:p w14:paraId="3278410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14:paraId="36A26C17" w14:textId="77777777" w:rsidTr="009B30DA">
        <w:tc>
          <w:tcPr>
            <w:tcW w:w="0" w:type="auto"/>
            <w:vMerge w:val="restart"/>
            <w:shd w:val="clear" w:color="auto" w:fill="FCFCFC"/>
            <w:vAlign w:val="center"/>
            <w:hideMark/>
          </w:tcPr>
          <w:p w14:paraId="6594A53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w:t>
            </w:r>
          </w:p>
        </w:tc>
        <w:tc>
          <w:tcPr>
            <w:tcW w:w="1733" w:type="dxa"/>
            <w:vMerge w:val="restart"/>
            <w:shd w:val="clear" w:color="auto" w:fill="FCFCFC"/>
            <w:vAlign w:val="center"/>
            <w:hideMark/>
          </w:tcPr>
          <w:p w14:paraId="1292B1C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Інструменти, прилади та інвентар</w:t>
            </w:r>
          </w:p>
        </w:tc>
        <w:tc>
          <w:tcPr>
            <w:tcW w:w="5524" w:type="dxa"/>
            <w:shd w:val="clear" w:color="auto" w:fill="FCFCFC"/>
            <w:vAlign w:val="center"/>
            <w:hideMark/>
          </w:tcPr>
          <w:p w14:paraId="20BA083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Інструменти (підгрупа 1)</w:t>
            </w:r>
          </w:p>
        </w:tc>
        <w:tc>
          <w:tcPr>
            <w:tcW w:w="1985" w:type="dxa"/>
            <w:shd w:val="clear" w:color="auto" w:fill="FCFCFC"/>
            <w:vAlign w:val="center"/>
            <w:hideMark/>
          </w:tcPr>
          <w:p w14:paraId="1BDADEC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14:paraId="154B6F6C" w14:textId="77777777" w:rsidTr="009B30DA">
        <w:tc>
          <w:tcPr>
            <w:tcW w:w="0" w:type="auto"/>
            <w:vMerge/>
            <w:shd w:val="clear" w:color="auto" w:fill="FCFCFC"/>
            <w:vAlign w:val="center"/>
            <w:hideMark/>
          </w:tcPr>
          <w:p w14:paraId="10196D60"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3A85A623"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34435146"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Виробничий та господарський інвентар (підгрупи 2 - 3)</w:t>
            </w:r>
          </w:p>
        </w:tc>
        <w:tc>
          <w:tcPr>
            <w:tcW w:w="1985" w:type="dxa"/>
            <w:shd w:val="clear" w:color="auto" w:fill="FCFCFC"/>
            <w:vAlign w:val="center"/>
            <w:hideMark/>
          </w:tcPr>
          <w:p w14:paraId="1591CBF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2FBF52A3" w14:textId="77777777" w:rsidTr="009B30DA">
        <w:tc>
          <w:tcPr>
            <w:tcW w:w="0" w:type="auto"/>
            <w:vMerge w:val="restart"/>
            <w:shd w:val="clear" w:color="auto" w:fill="FCFCFC"/>
            <w:vAlign w:val="center"/>
            <w:hideMark/>
          </w:tcPr>
          <w:p w14:paraId="09FE32C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5</w:t>
            </w:r>
          </w:p>
        </w:tc>
        <w:tc>
          <w:tcPr>
            <w:tcW w:w="1733" w:type="dxa"/>
            <w:vMerge w:val="restart"/>
            <w:shd w:val="clear" w:color="auto" w:fill="FCFCFC"/>
            <w:vAlign w:val="center"/>
            <w:hideMark/>
          </w:tcPr>
          <w:p w14:paraId="77EF3DD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Робочі і продуктивні тварини</w:t>
            </w:r>
          </w:p>
        </w:tc>
        <w:tc>
          <w:tcPr>
            <w:tcW w:w="5524" w:type="dxa"/>
            <w:shd w:val="clear" w:color="auto" w:fill="FCFCFC"/>
            <w:vAlign w:val="center"/>
            <w:hideMark/>
          </w:tcPr>
          <w:p w14:paraId="3023F50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Тварини зоопарків та подібних установ, службові собаки (підгрупи 3, 4)</w:t>
            </w:r>
          </w:p>
        </w:tc>
        <w:tc>
          <w:tcPr>
            <w:tcW w:w="1985" w:type="dxa"/>
            <w:shd w:val="clear" w:color="auto" w:fill="FCFCFC"/>
            <w:vAlign w:val="center"/>
            <w:hideMark/>
          </w:tcPr>
          <w:p w14:paraId="6E7C406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14:paraId="2963A70D" w14:textId="77777777" w:rsidTr="009B30DA">
        <w:tc>
          <w:tcPr>
            <w:tcW w:w="0" w:type="auto"/>
            <w:vMerge/>
            <w:shd w:val="clear" w:color="auto" w:fill="FCFCFC"/>
            <w:vAlign w:val="center"/>
            <w:hideMark/>
          </w:tcPr>
          <w:p w14:paraId="59D1F913"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674D4124"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9C8E9D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Робоча, продуктивна та інша худоба (підгрупи 1, 2)</w:t>
            </w:r>
          </w:p>
        </w:tc>
        <w:tc>
          <w:tcPr>
            <w:tcW w:w="1985" w:type="dxa"/>
            <w:shd w:val="clear" w:color="auto" w:fill="FCFCFC"/>
            <w:vAlign w:val="center"/>
            <w:hideMark/>
          </w:tcPr>
          <w:p w14:paraId="4BC03FF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14:paraId="0371CA46" w14:textId="77777777" w:rsidTr="009B30DA">
        <w:tc>
          <w:tcPr>
            <w:tcW w:w="0" w:type="auto"/>
            <w:vMerge w:val="restart"/>
            <w:shd w:val="clear" w:color="auto" w:fill="FCFCFC"/>
            <w:vAlign w:val="center"/>
            <w:hideMark/>
          </w:tcPr>
          <w:p w14:paraId="6F0C64E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6</w:t>
            </w:r>
          </w:p>
        </w:tc>
        <w:tc>
          <w:tcPr>
            <w:tcW w:w="1733" w:type="dxa"/>
            <w:vMerge w:val="restart"/>
            <w:shd w:val="clear" w:color="auto" w:fill="FCFCFC"/>
            <w:vAlign w:val="center"/>
            <w:hideMark/>
          </w:tcPr>
          <w:p w14:paraId="4987E13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Багаторічні насадження</w:t>
            </w:r>
          </w:p>
        </w:tc>
        <w:tc>
          <w:tcPr>
            <w:tcW w:w="5524" w:type="dxa"/>
            <w:shd w:val="clear" w:color="auto" w:fill="FCFCFC"/>
            <w:vAlign w:val="center"/>
            <w:hideMark/>
          </w:tcPr>
          <w:p w14:paraId="7CD6BE3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ягідні (суниця)</w:t>
            </w:r>
          </w:p>
        </w:tc>
        <w:tc>
          <w:tcPr>
            <w:tcW w:w="1985" w:type="dxa"/>
            <w:shd w:val="clear" w:color="auto" w:fill="FCFCFC"/>
            <w:vAlign w:val="center"/>
            <w:hideMark/>
          </w:tcPr>
          <w:p w14:paraId="554CEEC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3</w:t>
            </w:r>
          </w:p>
        </w:tc>
      </w:tr>
      <w:tr w:rsidR="00D07030" w:rsidRPr="00143D5A" w14:paraId="17A8009D" w14:textId="77777777" w:rsidTr="009B30DA">
        <w:tc>
          <w:tcPr>
            <w:tcW w:w="0" w:type="auto"/>
            <w:vMerge/>
            <w:shd w:val="clear" w:color="auto" w:fill="FCFCFC"/>
            <w:vAlign w:val="center"/>
            <w:hideMark/>
          </w:tcPr>
          <w:p w14:paraId="3F69A1D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5271A63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6D027D4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ягідні (крім суниці), плодові, овочеві</w:t>
            </w:r>
          </w:p>
        </w:tc>
        <w:tc>
          <w:tcPr>
            <w:tcW w:w="1985" w:type="dxa"/>
            <w:shd w:val="clear" w:color="auto" w:fill="FCFCFC"/>
            <w:vAlign w:val="center"/>
            <w:hideMark/>
          </w:tcPr>
          <w:p w14:paraId="138CB27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221F0579" w14:textId="77777777" w:rsidTr="009B30DA">
        <w:tc>
          <w:tcPr>
            <w:tcW w:w="0" w:type="auto"/>
            <w:vMerge/>
            <w:shd w:val="clear" w:color="auto" w:fill="FCFCFC"/>
            <w:vAlign w:val="center"/>
            <w:hideMark/>
          </w:tcPr>
          <w:p w14:paraId="232C380A"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26EA98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1A6A8E5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ефіроолійні, лікарські</w:t>
            </w:r>
          </w:p>
        </w:tc>
        <w:tc>
          <w:tcPr>
            <w:tcW w:w="1985" w:type="dxa"/>
            <w:shd w:val="clear" w:color="auto" w:fill="FCFCFC"/>
            <w:vAlign w:val="center"/>
            <w:hideMark/>
          </w:tcPr>
          <w:p w14:paraId="04E3617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0F0332E7" w14:textId="77777777" w:rsidTr="009B30DA">
        <w:tc>
          <w:tcPr>
            <w:tcW w:w="0" w:type="auto"/>
            <w:vMerge/>
            <w:shd w:val="clear" w:color="auto" w:fill="FCFCFC"/>
            <w:vAlign w:val="center"/>
            <w:hideMark/>
          </w:tcPr>
          <w:p w14:paraId="1B21B45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71169F0"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721A1CB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Насадження штучні ботанічних садів та інших науково-дослідних установ і навчальних закладів для науково-дослідних цілей</w:t>
            </w:r>
          </w:p>
        </w:tc>
        <w:tc>
          <w:tcPr>
            <w:tcW w:w="1985" w:type="dxa"/>
            <w:shd w:val="clear" w:color="auto" w:fill="FCFCFC"/>
            <w:vAlign w:val="center"/>
            <w:hideMark/>
          </w:tcPr>
          <w:p w14:paraId="6ECB798E"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7134CBAD" w14:textId="77777777" w:rsidTr="009B30DA">
        <w:tc>
          <w:tcPr>
            <w:tcW w:w="0" w:type="auto"/>
            <w:vMerge/>
            <w:shd w:val="clear" w:color="auto" w:fill="FCFCFC"/>
            <w:vAlign w:val="center"/>
            <w:hideMark/>
          </w:tcPr>
          <w:p w14:paraId="08C47434"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73AAAFC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76264AA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Насадження озеленювальні та декоративні</w:t>
            </w:r>
          </w:p>
        </w:tc>
        <w:tc>
          <w:tcPr>
            <w:tcW w:w="1985" w:type="dxa"/>
            <w:shd w:val="clear" w:color="auto" w:fill="FCFCFC"/>
            <w:vAlign w:val="center"/>
            <w:hideMark/>
          </w:tcPr>
          <w:p w14:paraId="360B792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25</w:t>
            </w:r>
          </w:p>
        </w:tc>
      </w:tr>
      <w:tr w:rsidR="00D07030" w:rsidRPr="00143D5A" w14:paraId="4677E27D" w14:textId="77777777" w:rsidTr="009B30DA">
        <w:tc>
          <w:tcPr>
            <w:tcW w:w="0" w:type="auto"/>
            <w:vMerge/>
            <w:shd w:val="clear" w:color="auto" w:fill="FCFCFC"/>
            <w:vAlign w:val="center"/>
            <w:hideMark/>
          </w:tcPr>
          <w:p w14:paraId="1176904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0C88D06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77AEC6A4"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Захисні та інші лісні насадження</w:t>
            </w:r>
          </w:p>
        </w:tc>
        <w:tc>
          <w:tcPr>
            <w:tcW w:w="1985" w:type="dxa"/>
            <w:shd w:val="clear" w:color="auto" w:fill="FCFCFC"/>
            <w:vAlign w:val="center"/>
            <w:hideMark/>
          </w:tcPr>
          <w:p w14:paraId="070784A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14:paraId="518B2CC6" w14:textId="77777777" w:rsidTr="009B30DA">
        <w:tc>
          <w:tcPr>
            <w:tcW w:w="0" w:type="auto"/>
            <w:vMerge/>
            <w:shd w:val="clear" w:color="auto" w:fill="FCFCFC"/>
            <w:vAlign w:val="center"/>
            <w:hideMark/>
          </w:tcPr>
          <w:p w14:paraId="0038B2A0"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14:paraId="1A29561B"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14:paraId="3ED9033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довгострокові біологічні активи, не класифіковані</w:t>
            </w:r>
          </w:p>
        </w:tc>
        <w:tc>
          <w:tcPr>
            <w:tcW w:w="1985" w:type="dxa"/>
            <w:shd w:val="clear" w:color="auto" w:fill="FCFCFC"/>
            <w:vAlign w:val="center"/>
            <w:hideMark/>
          </w:tcPr>
          <w:p w14:paraId="265CCF58"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14:paraId="7A2156A9" w14:textId="77777777" w:rsidTr="009B30DA">
        <w:tc>
          <w:tcPr>
            <w:tcW w:w="0" w:type="auto"/>
            <w:shd w:val="clear" w:color="auto" w:fill="FCFCFC"/>
            <w:vAlign w:val="center"/>
            <w:hideMark/>
          </w:tcPr>
          <w:p w14:paraId="63417E8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c>
          <w:tcPr>
            <w:tcW w:w="1733" w:type="dxa"/>
            <w:shd w:val="clear" w:color="auto" w:fill="FCFCFC"/>
            <w:vAlign w:val="center"/>
            <w:hideMark/>
          </w:tcPr>
          <w:p w14:paraId="62A099C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основні засоби</w:t>
            </w:r>
          </w:p>
        </w:tc>
        <w:tc>
          <w:tcPr>
            <w:tcW w:w="5524" w:type="dxa"/>
            <w:shd w:val="clear" w:color="auto" w:fill="FCFCFC"/>
            <w:vAlign w:val="center"/>
            <w:hideMark/>
          </w:tcPr>
          <w:p w14:paraId="4639184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основні засоби</w:t>
            </w:r>
          </w:p>
        </w:tc>
        <w:tc>
          <w:tcPr>
            <w:tcW w:w="1985" w:type="dxa"/>
            <w:shd w:val="clear" w:color="auto" w:fill="FCFCFC"/>
            <w:vAlign w:val="center"/>
            <w:hideMark/>
          </w:tcPr>
          <w:p w14:paraId="176433B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14:paraId="3A060B85" w14:textId="77777777" w:rsidTr="009B30DA">
        <w:tc>
          <w:tcPr>
            <w:tcW w:w="0" w:type="auto"/>
            <w:shd w:val="clear" w:color="auto" w:fill="FCFCFC"/>
            <w:vAlign w:val="center"/>
            <w:hideMark/>
          </w:tcPr>
          <w:p w14:paraId="6C06876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8</w:t>
            </w:r>
          </w:p>
        </w:tc>
        <w:tc>
          <w:tcPr>
            <w:tcW w:w="1733" w:type="dxa"/>
            <w:shd w:val="clear" w:color="auto" w:fill="FCFCFC"/>
            <w:vAlign w:val="center"/>
            <w:hideMark/>
          </w:tcPr>
          <w:p w14:paraId="51857DEB"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Необоротні матеріальні активи спеціального призначення</w:t>
            </w:r>
          </w:p>
        </w:tc>
        <w:tc>
          <w:tcPr>
            <w:tcW w:w="5524" w:type="dxa"/>
            <w:shd w:val="clear" w:color="auto" w:fill="FCFCFC"/>
            <w:vAlign w:val="center"/>
            <w:hideMark/>
          </w:tcPr>
          <w:p w14:paraId="093C71D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Необоротні матеріальні активи спеціального призначення</w:t>
            </w:r>
          </w:p>
        </w:tc>
        <w:tc>
          <w:tcPr>
            <w:tcW w:w="1985" w:type="dxa"/>
            <w:shd w:val="clear" w:color="auto" w:fill="FCFCFC"/>
            <w:vAlign w:val="center"/>
            <w:hideMark/>
          </w:tcPr>
          <w:p w14:paraId="6EE749C5"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bl>
    <w:p w14:paraId="14F4B806" w14:textId="77777777"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p>
    <w:p w14:paraId="0B447555" w14:textId="77777777" w:rsidR="00D07030" w:rsidRPr="00143D5A" w:rsidRDefault="00D07030" w:rsidP="00D07030">
      <w:pPr>
        <w:spacing w:line="259" w:lineRule="auto"/>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br w:type="page"/>
      </w:r>
    </w:p>
    <w:p w14:paraId="5C55E55D" w14:textId="77777777"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СТРОКИ</w:t>
      </w:r>
      <w:r w:rsidRPr="00143D5A">
        <w:rPr>
          <w:rFonts w:eastAsia="Times New Roman" w:cs="Times New Roman"/>
          <w:color w:val="000000" w:themeColor="text1"/>
          <w:sz w:val="26"/>
          <w:szCs w:val="26"/>
          <w:lang w:val="uk-UA" w:eastAsia="ru-RU"/>
        </w:rPr>
        <w:br/>
        <w:t>корисного використання нематеріальних активів суб'єктів державного сектору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84"/>
        <w:gridCol w:w="1763"/>
        <w:gridCol w:w="4201"/>
        <w:gridCol w:w="2996"/>
      </w:tblGrid>
      <w:tr w:rsidR="00D07030" w:rsidRPr="00143D5A" w14:paraId="5D1B6938" w14:textId="77777777" w:rsidTr="009B30DA">
        <w:tc>
          <w:tcPr>
            <w:tcW w:w="0" w:type="auto"/>
            <w:shd w:val="clear" w:color="auto" w:fill="FFFFFF" w:themeFill="background1"/>
            <w:vAlign w:val="center"/>
            <w:hideMark/>
          </w:tcPr>
          <w:p w14:paraId="664D166C"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 з/п</w:t>
            </w:r>
          </w:p>
        </w:tc>
        <w:tc>
          <w:tcPr>
            <w:tcW w:w="0" w:type="auto"/>
            <w:shd w:val="clear" w:color="auto" w:fill="FFFFFF" w:themeFill="background1"/>
            <w:vAlign w:val="center"/>
            <w:hideMark/>
          </w:tcPr>
          <w:p w14:paraId="36620DD1"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субрахунку</w:t>
            </w:r>
          </w:p>
        </w:tc>
        <w:tc>
          <w:tcPr>
            <w:tcW w:w="0" w:type="auto"/>
            <w:shd w:val="clear" w:color="auto" w:fill="FFFFFF" w:themeFill="background1"/>
            <w:vAlign w:val="center"/>
            <w:hideMark/>
          </w:tcPr>
          <w:p w14:paraId="6AB8E9EF"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підгрупи</w:t>
            </w:r>
          </w:p>
        </w:tc>
        <w:tc>
          <w:tcPr>
            <w:tcW w:w="0" w:type="auto"/>
            <w:shd w:val="clear" w:color="auto" w:fill="FFFFFF" w:themeFill="background1"/>
            <w:vAlign w:val="center"/>
            <w:hideMark/>
          </w:tcPr>
          <w:p w14:paraId="52F35BF3" w14:textId="77777777"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Строк корисного використання, років</w:t>
            </w:r>
          </w:p>
        </w:tc>
      </w:tr>
      <w:tr w:rsidR="00D07030" w:rsidRPr="00143D5A" w14:paraId="2AED092E" w14:textId="77777777" w:rsidTr="009B30DA">
        <w:tc>
          <w:tcPr>
            <w:tcW w:w="0" w:type="auto"/>
            <w:shd w:val="clear" w:color="auto" w:fill="FFFFFF" w:themeFill="background1"/>
            <w:vAlign w:val="center"/>
            <w:hideMark/>
          </w:tcPr>
          <w:p w14:paraId="7FA0716A"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w:t>
            </w:r>
          </w:p>
        </w:tc>
        <w:tc>
          <w:tcPr>
            <w:tcW w:w="0" w:type="auto"/>
            <w:shd w:val="clear" w:color="auto" w:fill="FFFFFF" w:themeFill="background1"/>
            <w:vAlign w:val="center"/>
            <w:hideMark/>
          </w:tcPr>
          <w:p w14:paraId="492BFB2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Авторські та суміжні з ними права</w:t>
            </w:r>
          </w:p>
        </w:tc>
        <w:tc>
          <w:tcPr>
            <w:tcW w:w="0" w:type="auto"/>
            <w:shd w:val="clear" w:color="auto" w:fill="FFFFFF" w:themeFill="background1"/>
            <w:vAlign w:val="center"/>
            <w:hideMark/>
          </w:tcPr>
          <w:p w14:paraId="374FB701"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Авторське право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(бази даних), фонограми, відеограми, передачі (програми) організацій мовлення тощо</w:t>
            </w:r>
          </w:p>
        </w:tc>
        <w:tc>
          <w:tcPr>
            <w:tcW w:w="0" w:type="auto"/>
            <w:shd w:val="clear" w:color="auto" w:fill="FFFFFF" w:themeFill="background1"/>
            <w:vAlign w:val="center"/>
            <w:hideMark/>
          </w:tcPr>
          <w:p w14:paraId="082C6A0C"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 але не менш як 2 роки</w:t>
            </w:r>
          </w:p>
        </w:tc>
      </w:tr>
      <w:tr w:rsidR="00D07030" w:rsidRPr="00143D5A" w14:paraId="74B96CF3" w14:textId="77777777" w:rsidTr="009B30DA">
        <w:tc>
          <w:tcPr>
            <w:tcW w:w="0" w:type="auto"/>
            <w:vMerge w:val="restart"/>
            <w:shd w:val="clear" w:color="auto" w:fill="FFFFFF" w:themeFill="background1"/>
            <w:vAlign w:val="center"/>
            <w:hideMark/>
          </w:tcPr>
          <w:p w14:paraId="6285F3B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w:t>
            </w:r>
          </w:p>
        </w:tc>
        <w:tc>
          <w:tcPr>
            <w:tcW w:w="0" w:type="auto"/>
            <w:vMerge w:val="restart"/>
            <w:shd w:val="clear" w:color="auto" w:fill="FFFFFF" w:themeFill="background1"/>
            <w:vAlign w:val="center"/>
            <w:hideMark/>
          </w:tcPr>
          <w:p w14:paraId="47E4852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нематеріальні активи</w:t>
            </w:r>
          </w:p>
        </w:tc>
        <w:tc>
          <w:tcPr>
            <w:tcW w:w="0" w:type="auto"/>
            <w:shd w:val="clear" w:color="auto" w:fill="FFFFFF" w:themeFill="background1"/>
            <w:vAlign w:val="center"/>
            <w:hideMark/>
          </w:tcPr>
          <w:p w14:paraId="24D628A7"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tc>
        <w:tc>
          <w:tcPr>
            <w:tcW w:w="0" w:type="auto"/>
            <w:shd w:val="clear" w:color="auto" w:fill="FFFFFF" w:themeFill="background1"/>
            <w:vAlign w:val="center"/>
            <w:hideMark/>
          </w:tcPr>
          <w:p w14:paraId="46E25A9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14:paraId="06A15029" w14:textId="77777777" w:rsidTr="009B30DA">
        <w:tc>
          <w:tcPr>
            <w:tcW w:w="0" w:type="auto"/>
            <w:vMerge/>
            <w:shd w:val="clear" w:color="auto" w:fill="FFFFFF" w:themeFill="background1"/>
            <w:vAlign w:val="center"/>
            <w:hideMark/>
          </w:tcPr>
          <w:p w14:paraId="0895A54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14:paraId="6FF2907F"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14:paraId="479E5411"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користування майном: право користування земельною ділянкою, крім права постійного користування земельною ділянкою, право користування будівлею, право на оренду приміщень тощо</w:t>
            </w:r>
          </w:p>
        </w:tc>
        <w:tc>
          <w:tcPr>
            <w:tcW w:w="0" w:type="auto"/>
            <w:shd w:val="clear" w:color="auto" w:fill="FFFFFF" w:themeFill="background1"/>
            <w:vAlign w:val="center"/>
            <w:hideMark/>
          </w:tcPr>
          <w:p w14:paraId="200BFAC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14:paraId="715C453B" w14:textId="77777777" w:rsidTr="009B30DA">
        <w:tc>
          <w:tcPr>
            <w:tcW w:w="0" w:type="auto"/>
            <w:vMerge/>
            <w:shd w:val="clear" w:color="auto" w:fill="FFFFFF" w:themeFill="background1"/>
            <w:vAlign w:val="center"/>
            <w:hideMark/>
          </w:tcPr>
          <w:p w14:paraId="758CE585"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14:paraId="394E1B19"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14:paraId="04726A9F"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на знаки для товарів і послуг: товарні знаки, торгові марки, фірмові найменування тощо)</w:t>
            </w:r>
          </w:p>
        </w:tc>
        <w:tc>
          <w:tcPr>
            <w:tcW w:w="0" w:type="auto"/>
            <w:shd w:val="clear" w:color="auto" w:fill="FFFFFF" w:themeFill="background1"/>
            <w:vAlign w:val="center"/>
            <w:hideMark/>
          </w:tcPr>
          <w:p w14:paraId="347115C0"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14:paraId="43DF42E3" w14:textId="77777777" w:rsidTr="009B30DA">
        <w:tc>
          <w:tcPr>
            <w:tcW w:w="0" w:type="auto"/>
            <w:vMerge/>
            <w:shd w:val="clear" w:color="auto" w:fill="FFFFFF" w:themeFill="background1"/>
            <w:vAlign w:val="center"/>
            <w:hideMark/>
          </w:tcPr>
          <w:p w14:paraId="7BD8EA81"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14:paraId="4BA963A7"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14:paraId="3C60E332"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на об'єкти промислової власності: право на винаходи, розробки, корисні моделі, промислові зразки, сорти рослин, породи тварин, захист від недобросовісної конкуренції тощо</w:t>
            </w:r>
          </w:p>
        </w:tc>
        <w:tc>
          <w:tcPr>
            <w:tcW w:w="0" w:type="auto"/>
            <w:shd w:val="clear" w:color="auto" w:fill="FFFFFF" w:themeFill="background1"/>
            <w:vAlign w:val="center"/>
            <w:hideMark/>
          </w:tcPr>
          <w:p w14:paraId="6BF8D3B9"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 але не менш як 5 років</w:t>
            </w:r>
          </w:p>
        </w:tc>
      </w:tr>
      <w:tr w:rsidR="00D07030" w:rsidRPr="00143D5A" w14:paraId="07913072" w14:textId="77777777" w:rsidTr="009B30DA">
        <w:tc>
          <w:tcPr>
            <w:tcW w:w="0" w:type="auto"/>
            <w:vMerge/>
            <w:shd w:val="clear" w:color="auto" w:fill="FFFFFF" w:themeFill="background1"/>
            <w:vAlign w:val="center"/>
            <w:hideMark/>
          </w:tcPr>
          <w:p w14:paraId="6715E0D8"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14:paraId="4D5FAB44" w14:textId="77777777"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14:paraId="6A3A1FA6"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нематеріальні активи: право на провадження діяльності, використання економічних та інших привілеїв тощо</w:t>
            </w:r>
          </w:p>
        </w:tc>
        <w:tc>
          <w:tcPr>
            <w:tcW w:w="0" w:type="auto"/>
            <w:shd w:val="clear" w:color="auto" w:fill="FFFFFF" w:themeFill="background1"/>
            <w:vAlign w:val="center"/>
            <w:hideMark/>
          </w:tcPr>
          <w:p w14:paraId="52DD1C3D" w14:textId="77777777"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bl>
    <w:p w14:paraId="67FC488C" w14:textId="77777777" w:rsidR="00D07030" w:rsidRPr="00143D5A" w:rsidRDefault="00D07030" w:rsidP="00D07030">
      <w:pPr>
        <w:shd w:val="clear" w:color="auto" w:fill="FFFFFF" w:themeFill="background1"/>
        <w:spacing w:after="0"/>
        <w:ind w:firstLine="709"/>
        <w:jc w:val="both"/>
        <w:rPr>
          <w:rFonts w:cs="Times New Roman"/>
          <w:color w:val="000000" w:themeColor="text1"/>
          <w:sz w:val="26"/>
          <w:szCs w:val="26"/>
          <w:lang w:val="uk-UA"/>
        </w:rPr>
      </w:pPr>
    </w:p>
    <w:p w14:paraId="54781978" w14:textId="77777777" w:rsidR="00D07030" w:rsidRPr="00143D5A" w:rsidRDefault="009B30DA" w:rsidP="00D07030">
      <w:pPr>
        <w:shd w:val="clear" w:color="auto" w:fill="FFFFFF" w:themeFill="background1"/>
        <w:spacing w:after="0"/>
        <w:ind w:firstLine="709"/>
        <w:jc w:val="both"/>
        <w:rPr>
          <w:rFonts w:cs="Times New Roman"/>
          <w:color w:val="000000" w:themeColor="text1"/>
          <w:sz w:val="26"/>
          <w:szCs w:val="26"/>
          <w:lang w:val="uk-UA"/>
        </w:rPr>
      </w:pPr>
      <w:r>
        <w:rPr>
          <w:rFonts w:cs="Times New Roman"/>
          <w:color w:val="000000" w:themeColor="text1"/>
          <w:sz w:val="26"/>
          <w:szCs w:val="26"/>
          <w:lang w:val="uk-UA"/>
        </w:rPr>
        <w:t>Начальник фінансового відділу                                        Марина ІВАНЕНКО</w:t>
      </w:r>
    </w:p>
    <w:p w14:paraId="1E75FF0A" w14:textId="77777777" w:rsidR="00D07030" w:rsidRPr="00143D5A" w:rsidRDefault="00D07030" w:rsidP="000C7BCE">
      <w:pPr>
        <w:spacing w:line="259" w:lineRule="auto"/>
        <w:ind w:right="-285"/>
        <w:rPr>
          <w:rFonts w:eastAsia="Times New Roman" w:cs="Times New Roman"/>
          <w:b/>
          <w:sz w:val="26"/>
          <w:szCs w:val="26"/>
          <w:lang w:val="uk-UA" w:eastAsia="ru-RU"/>
        </w:rPr>
      </w:pPr>
    </w:p>
    <w:sectPr w:rsidR="00D07030" w:rsidRPr="00143D5A" w:rsidSect="00B60F59">
      <w:pgSz w:w="11906" w:h="16838" w:code="9"/>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49E4"/>
    <w:multiLevelType w:val="hybridMultilevel"/>
    <w:tmpl w:val="0270D6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5A53B9"/>
    <w:multiLevelType w:val="multilevel"/>
    <w:tmpl w:val="5852C24A"/>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80C9E"/>
    <w:multiLevelType w:val="multilevel"/>
    <w:tmpl w:val="B07E4C4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9463C"/>
    <w:multiLevelType w:val="multilevel"/>
    <w:tmpl w:val="4E64D1B4"/>
    <w:lvl w:ilvl="0">
      <w:start w:val="10"/>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973A96"/>
    <w:multiLevelType w:val="multilevel"/>
    <w:tmpl w:val="EDBCCA4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794D"/>
    <w:multiLevelType w:val="multilevel"/>
    <w:tmpl w:val="30A2FCE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B4FCF"/>
    <w:multiLevelType w:val="multilevel"/>
    <w:tmpl w:val="DA3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64972"/>
    <w:multiLevelType w:val="multilevel"/>
    <w:tmpl w:val="D5A837B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450846"/>
    <w:multiLevelType w:val="multilevel"/>
    <w:tmpl w:val="FCF00798"/>
    <w:lvl w:ilvl="0">
      <w:start w:val="1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2322E"/>
    <w:multiLevelType w:val="multilevel"/>
    <w:tmpl w:val="8754499E"/>
    <w:lvl w:ilvl="0">
      <w:start w:val="1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CA1F87"/>
    <w:multiLevelType w:val="multilevel"/>
    <w:tmpl w:val="DA50ED6E"/>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4750A"/>
    <w:multiLevelType w:val="multilevel"/>
    <w:tmpl w:val="5600A1A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000FC"/>
    <w:multiLevelType w:val="multilevel"/>
    <w:tmpl w:val="B7C6DE20"/>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26475F"/>
    <w:multiLevelType w:val="multilevel"/>
    <w:tmpl w:val="7ED0548E"/>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1058A"/>
    <w:multiLevelType w:val="multilevel"/>
    <w:tmpl w:val="442CC7B8"/>
    <w:lvl w:ilvl="0">
      <w:start w:val="1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65226A"/>
    <w:multiLevelType w:val="multilevel"/>
    <w:tmpl w:val="B2586C28"/>
    <w:lvl w:ilvl="0">
      <w:start w:val="1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AA4D85"/>
    <w:multiLevelType w:val="multilevel"/>
    <w:tmpl w:val="5F4C39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5A3245"/>
    <w:multiLevelType w:val="multilevel"/>
    <w:tmpl w:val="77A47256"/>
    <w:lvl w:ilvl="0">
      <w:start w:val="1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9163BD"/>
    <w:multiLevelType w:val="multilevel"/>
    <w:tmpl w:val="91DAFA70"/>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14310"/>
    <w:multiLevelType w:val="multilevel"/>
    <w:tmpl w:val="09681D26"/>
    <w:lvl w:ilvl="0">
      <w:start w:val="1"/>
      <w:numFmt w:val="decimal"/>
      <w:lvlText w:val="%1"/>
      <w:lvlJc w:val="left"/>
      <w:pPr>
        <w:ind w:left="360" w:hanging="360"/>
      </w:pPr>
      <w:rPr>
        <w:rFonts w:hint="default"/>
      </w:rPr>
    </w:lvl>
    <w:lvl w:ilvl="1">
      <w:start w:val="9"/>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0" w15:restartNumberingAfterBreak="0">
    <w:nsid w:val="60FC6FC7"/>
    <w:multiLevelType w:val="multilevel"/>
    <w:tmpl w:val="F440BC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841FDF"/>
    <w:multiLevelType w:val="multilevel"/>
    <w:tmpl w:val="E83AA4A4"/>
    <w:lvl w:ilvl="0">
      <w:start w:val="3"/>
      <w:numFmt w:val="decimal"/>
      <w:lvlText w:val="%1"/>
      <w:lvlJc w:val="left"/>
      <w:pPr>
        <w:ind w:left="360" w:hanging="360"/>
      </w:pPr>
      <w:rPr>
        <w:rFonts w:hint="default"/>
        <w:color w:val="FF000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6F057004"/>
    <w:multiLevelType w:val="multilevel"/>
    <w:tmpl w:val="2594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5A2602"/>
    <w:multiLevelType w:val="multilevel"/>
    <w:tmpl w:val="9BC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26B3B"/>
    <w:multiLevelType w:val="hybridMultilevel"/>
    <w:tmpl w:val="2D5477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264336D"/>
    <w:multiLevelType w:val="multilevel"/>
    <w:tmpl w:val="41549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D57C56"/>
    <w:multiLevelType w:val="hybridMultilevel"/>
    <w:tmpl w:val="F26E2F28"/>
    <w:lvl w:ilvl="0" w:tplc="0422000D">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7" w15:restartNumberingAfterBreak="0">
    <w:nsid w:val="76A57B45"/>
    <w:multiLevelType w:val="multilevel"/>
    <w:tmpl w:val="B33EB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9464111"/>
    <w:multiLevelType w:val="multilevel"/>
    <w:tmpl w:val="D104FE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F826D4E"/>
    <w:multiLevelType w:val="multilevel"/>
    <w:tmpl w:val="C2C24890"/>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5"/>
  </w:num>
  <w:num w:numId="4">
    <w:abstractNumId w:val="1"/>
  </w:num>
  <w:num w:numId="5">
    <w:abstractNumId w:val="13"/>
  </w:num>
  <w:num w:numId="6">
    <w:abstractNumId w:val="6"/>
  </w:num>
  <w:num w:numId="7">
    <w:abstractNumId w:val="23"/>
  </w:num>
  <w:num w:numId="8">
    <w:abstractNumId w:val="2"/>
  </w:num>
  <w:num w:numId="9">
    <w:abstractNumId w:val="29"/>
  </w:num>
  <w:num w:numId="10">
    <w:abstractNumId w:val="18"/>
  </w:num>
  <w:num w:numId="11">
    <w:abstractNumId w:val="10"/>
  </w:num>
  <w:num w:numId="12">
    <w:abstractNumId w:val="15"/>
  </w:num>
  <w:num w:numId="13">
    <w:abstractNumId w:val="8"/>
  </w:num>
  <w:num w:numId="14">
    <w:abstractNumId w:val="27"/>
  </w:num>
  <w:num w:numId="15">
    <w:abstractNumId w:val="12"/>
  </w:num>
  <w:num w:numId="16">
    <w:abstractNumId w:val="19"/>
  </w:num>
  <w:num w:numId="17">
    <w:abstractNumId w:val="22"/>
  </w:num>
  <w:num w:numId="18">
    <w:abstractNumId w:val="25"/>
  </w:num>
  <w:num w:numId="19">
    <w:abstractNumId w:val="21"/>
  </w:num>
  <w:num w:numId="20">
    <w:abstractNumId w:val="20"/>
  </w:num>
  <w:num w:numId="21">
    <w:abstractNumId w:val="28"/>
  </w:num>
  <w:num w:numId="22">
    <w:abstractNumId w:val="7"/>
  </w:num>
  <w:num w:numId="23">
    <w:abstractNumId w:val="16"/>
  </w:num>
  <w:num w:numId="24">
    <w:abstractNumId w:val="3"/>
  </w:num>
  <w:num w:numId="25">
    <w:abstractNumId w:val="14"/>
  </w:num>
  <w:num w:numId="26">
    <w:abstractNumId w:val="26"/>
  </w:num>
  <w:num w:numId="27">
    <w:abstractNumId w:val="9"/>
  </w:num>
  <w:num w:numId="28">
    <w:abstractNumId w:val="17"/>
  </w:num>
  <w:num w:numId="29">
    <w:abstractNumId w:val="24"/>
  </w:num>
  <w:num w:numId="3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DD"/>
    <w:rsid w:val="0006168E"/>
    <w:rsid w:val="000C7BCE"/>
    <w:rsid w:val="00143D5A"/>
    <w:rsid w:val="001D0E6C"/>
    <w:rsid w:val="00287732"/>
    <w:rsid w:val="003705A7"/>
    <w:rsid w:val="0039491A"/>
    <w:rsid w:val="003F3736"/>
    <w:rsid w:val="004374CB"/>
    <w:rsid w:val="0044118C"/>
    <w:rsid w:val="004C7F06"/>
    <w:rsid w:val="005115BF"/>
    <w:rsid w:val="00523CEC"/>
    <w:rsid w:val="005D2340"/>
    <w:rsid w:val="005D3363"/>
    <w:rsid w:val="005F5ADB"/>
    <w:rsid w:val="006030FE"/>
    <w:rsid w:val="00620DE6"/>
    <w:rsid w:val="00670CDC"/>
    <w:rsid w:val="00671BC8"/>
    <w:rsid w:val="006C0B77"/>
    <w:rsid w:val="00777AED"/>
    <w:rsid w:val="007D3BC2"/>
    <w:rsid w:val="007E2A34"/>
    <w:rsid w:val="007F2BF2"/>
    <w:rsid w:val="008121C0"/>
    <w:rsid w:val="008242FF"/>
    <w:rsid w:val="00870751"/>
    <w:rsid w:val="008A4858"/>
    <w:rsid w:val="008B4ACC"/>
    <w:rsid w:val="008F2770"/>
    <w:rsid w:val="00912AA8"/>
    <w:rsid w:val="00922C48"/>
    <w:rsid w:val="00944FCE"/>
    <w:rsid w:val="00945BB8"/>
    <w:rsid w:val="00965A7D"/>
    <w:rsid w:val="0098369A"/>
    <w:rsid w:val="009974DD"/>
    <w:rsid w:val="009B30DA"/>
    <w:rsid w:val="00AB01C3"/>
    <w:rsid w:val="00AD1163"/>
    <w:rsid w:val="00AD23B9"/>
    <w:rsid w:val="00AF14B2"/>
    <w:rsid w:val="00B36FFA"/>
    <w:rsid w:val="00B60F59"/>
    <w:rsid w:val="00B66055"/>
    <w:rsid w:val="00B801DF"/>
    <w:rsid w:val="00B8789C"/>
    <w:rsid w:val="00B915B7"/>
    <w:rsid w:val="00CA4CFB"/>
    <w:rsid w:val="00CA54B0"/>
    <w:rsid w:val="00D07030"/>
    <w:rsid w:val="00D41911"/>
    <w:rsid w:val="00D517AF"/>
    <w:rsid w:val="00D61AF3"/>
    <w:rsid w:val="00DD2479"/>
    <w:rsid w:val="00DF2990"/>
    <w:rsid w:val="00E03DE7"/>
    <w:rsid w:val="00E431F4"/>
    <w:rsid w:val="00E623E7"/>
    <w:rsid w:val="00E7486B"/>
    <w:rsid w:val="00E81E93"/>
    <w:rsid w:val="00E957CE"/>
    <w:rsid w:val="00EA59DF"/>
    <w:rsid w:val="00EC7861"/>
    <w:rsid w:val="00EE3110"/>
    <w:rsid w:val="00EE4070"/>
    <w:rsid w:val="00F12C76"/>
    <w:rsid w:val="00F13412"/>
    <w:rsid w:val="00F52EB1"/>
    <w:rsid w:val="00F957B8"/>
    <w:rsid w:val="00FF1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0079"/>
  <w15:docId w15:val="{2A56BDA7-74C6-4FE2-A342-A6F2F04B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9974DD"/>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74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74DD"/>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9974DD"/>
    <w:rPr>
      <w:b/>
      <w:bCs/>
    </w:rPr>
  </w:style>
  <w:style w:type="character" w:styleId="a5">
    <w:name w:val="Hyperlink"/>
    <w:basedOn w:val="a0"/>
    <w:uiPriority w:val="99"/>
    <w:semiHidden/>
    <w:unhideWhenUsed/>
    <w:rsid w:val="009974DD"/>
    <w:rPr>
      <w:color w:val="0000FF"/>
      <w:u w:val="single"/>
    </w:rPr>
  </w:style>
  <w:style w:type="paragraph" w:styleId="a6">
    <w:name w:val="List Paragraph"/>
    <w:basedOn w:val="a"/>
    <w:uiPriority w:val="34"/>
    <w:qFormat/>
    <w:rsid w:val="00523CEC"/>
    <w:pPr>
      <w:ind w:left="720"/>
      <w:contextualSpacing/>
    </w:pPr>
  </w:style>
  <w:style w:type="character" w:customStyle="1" w:styleId="rvts15">
    <w:name w:val="rvts15"/>
    <w:basedOn w:val="a0"/>
    <w:rsid w:val="00912AA8"/>
  </w:style>
  <w:style w:type="character" w:customStyle="1" w:styleId="rvts23">
    <w:name w:val="rvts23"/>
    <w:basedOn w:val="a0"/>
    <w:rsid w:val="00912AA8"/>
  </w:style>
  <w:style w:type="paragraph" w:customStyle="1" w:styleId="paragraph">
    <w:name w:val="paragraph"/>
    <w:basedOn w:val="a"/>
    <w:rsid w:val="00D07030"/>
    <w:pPr>
      <w:spacing w:before="100" w:beforeAutospacing="1" w:after="100" w:afterAutospacing="1"/>
    </w:pPr>
    <w:rPr>
      <w:rFonts w:eastAsia="Times New Roman" w:cs="Times New Roman"/>
      <w:sz w:val="24"/>
      <w:szCs w:val="24"/>
      <w:lang w:eastAsia="ru-RU"/>
    </w:rPr>
  </w:style>
  <w:style w:type="character" w:customStyle="1" w:styleId="normaltextrun">
    <w:name w:val="normaltextrun"/>
    <w:rsid w:val="00D07030"/>
  </w:style>
  <w:style w:type="paragraph" w:styleId="a7">
    <w:name w:val="Balloon Text"/>
    <w:basedOn w:val="a"/>
    <w:link w:val="a8"/>
    <w:uiPriority w:val="99"/>
    <w:semiHidden/>
    <w:unhideWhenUsed/>
    <w:rsid w:val="00D07030"/>
    <w:pPr>
      <w:spacing w:after="0"/>
    </w:pPr>
    <w:rPr>
      <w:rFonts w:ascii="Tahoma" w:hAnsi="Tahoma" w:cs="Tahoma"/>
      <w:sz w:val="16"/>
      <w:szCs w:val="16"/>
    </w:rPr>
  </w:style>
  <w:style w:type="character" w:customStyle="1" w:styleId="a8">
    <w:name w:val="Текст выноски Знак"/>
    <w:basedOn w:val="a0"/>
    <w:link w:val="a7"/>
    <w:uiPriority w:val="99"/>
    <w:semiHidden/>
    <w:rsid w:val="00D07030"/>
    <w:rPr>
      <w:rFonts w:ascii="Tahoma" w:hAnsi="Tahoma" w:cs="Tahoma"/>
      <w:sz w:val="16"/>
      <w:szCs w:val="16"/>
    </w:rPr>
  </w:style>
  <w:style w:type="paragraph" w:styleId="a9">
    <w:name w:val="No Spacing"/>
    <w:uiPriority w:val="1"/>
    <w:qFormat/>
    <w:rsid w:val="00D07030"/>
    <w:pPr>
      <w:spacing w:after="0" w:line="240" w:lineRule="auto"/>
    </w:pPr>
    <w:rPr>
      <w:rFonts w:ascii="Times New Roman" w:hAnsi="Times New Roman"/>
      <w:sz w:val="28"/>
    </w:rPr>
  </w:style>
  <w:style w:type="paragraph" w:styleId="HTML">
    <w:name w:val="HTML Preformatted"/>
    <w:basedOn w:val="a"/>
    <w:link w:val="HTML0"/>
    <w:rsid w:val="006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671BC8"/>
    <w:rPr>
      <w:rFonts w:ascii="Courier New" w:eastAsia="Arial Unicode MS" w:hAnsi="Courier New" w:cs="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373579">
      <w:bodyDiv w:val="1"/>
      <w:marLeft w:val="0"/>
      <w:marRight w:val="0"/>
      <w:marTop w:val="0"/>
      <w:marBottom w:val="0"/>
      <w:divBdr>
        <w:top w:val="none" w:sz="0" w:space="0" w:color="auto"/>
        <w:left w:val="none" w:sz="0" w:space="0" w:color="auto"/>
        <w:bottom w:val="none" w:sz="0" w:space="0" w:color="auto"/>
        <w:right w:val="none" w:sz="0" w:space="0" w:color="auto"/>
      </w:divBdr>
    </w:div>
    <w:div w:id="1907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1365-14" TargetMode="External"/><Relationship Id="rId3" Type="http://schemas.openxmlformats.org/officeDocument/2006/relationships/styles" Target="styles.xml"/><Relationship Id="rId7" Type="http://schemas.openxmlformats.org/officeDocument/2006/relationships/hyperlink" Target="http://zakon3.rada.gov.ua/laws/show/98-201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5.rada.gov.ua/laws/show/z078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EFB0-D831-4148-B375-28D608D1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7336</Words>
  <Characters>41820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Work</cp:lastModifiedBy>
  <cp:revision>2</cp:revision>
  <cp:lastPrinted>2022-12-19T15:51:00Z</cp:lastPrinted>
  <dcterms:created xsi:type="dcterms:W3CDTF">2022-12-23T12:21:00Z</dcterms:created>
  <dcterms:modified xsi:type="dcterms:W3CDTF">2022-12-23T12:21:00Z</dcterms:modified>
</cp:coreProperties>
</file>