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B1873" w:rsidRPr="00AE474D" w:rsidTr="0000583D">
        <w:tc>
          <w:tcPr>
            <w:tcW w:w="4785" w:type="dxa"/>
            <w:vAlign w:val="center"/>
          </w:tcPr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74D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10160</wp:posOffset>
                  </wp:positionV>
                  <wp:extent cx="766445" cy="855980"/>
                  <wp:effectExtent l="19050" t="0" r="0" b="0"/>
                  <wp:wrapThrough wrapText="bothSides">
                    <wp:wrapPolygon edited="0">
                      <wp:start x="-537" y="0"/>
                      <wp:lineTo x="-537" y="21151"/>
                      <wp:lineTo x="21475" y="21151"/>
                      <wp:lineTo x="21475" y="0"/>
                      <wp:lineTo x="-537" y="0"/>
                    </wp:wrapPolygon>
                  </wp:wrapThrough>
                  <wp:docPr id="35" name="Рисунок 1" descr="sursko-lytovska_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8559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  <w:vAlign w:val="center"/>
          </w:tcPr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ІНФОРМАЦІЙНА КАРТКА №</w:t>
            </w:r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55</w:t>
            </w:r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(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00038</w:t>
            </w:r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)</w:t>
            </w:r>
          </w:p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адміністративної послуги</w:t>
            </w:r>
          </w:p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Видача</w:t>
            </w:r>
            <w:proofErr w:type="spellEnd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витягу</w:t>
            </w:r>
            <w:proofErr w:type="spellEnd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з</w:t>
            </w:r>
            <w:proofErr w:type="spellEnd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реєстру</w:t>
            </w:r>
            <w:proofErr w:type="spellEnd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територіальної</w:t>
            </w:r>
            <w:proofErr w:type="spellEnd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t>громади</w:t>
            </w:r>
            <w:proofErr w:type="spellEnd"/>
          </w:p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Сурсько-Литовської</w:t>
            </w:r>
            <w:proofErr w:type="spellEnd"/>
            <w:r w:rsidRPr="00AE474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 xml:space="preserve"> сільської ради Дніпровського району Дніпропетровської області</w:t>
            </w:r>
          </w:p>
        </w:tc>
      </w:tr>
      <w:tr w:rsidR="006B1873" w:rsidRPr="00AE474D" w:rsidTr="0000583D">
        <w:tc>
          <w:tcPr>
            <w:tcW w:w="9571" w:type="dxa"/>
            <w:gridSpan w:val="2"/>
          </w:tcPr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Інформація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про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суб’єкта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знаходження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центру надання адміністративних послуг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52064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Дніпропетровська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Дніпровський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Сурсько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Литовське</w:t>
            </w:r>
            <w:proofErr w:type="spellEnd"/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вул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Центральна, 10-Б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Інформація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щодо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режиму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роботи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центру надання адміністративних послуг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онеділок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8:00 – 17:00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вівторок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8:00 – 17:00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середа 8:00 – 17:00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четвер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8:00 – 17:00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п’ятниця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8:00 – 16:00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субота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8:00 – 16:00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ез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перерви на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обід</w:t>
            </w:r>
            <w:proofErr w:type="spellEnd"/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вихідний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субота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неділя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святкові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дні</w:t>
            </w:r>
            <w:proofErr w:type="spellEnd"/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Телефон/факс (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довідки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адреса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електронної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пошти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веб-сайт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центру надання адміністративних послуг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телефон: 099 090 06 08</w:t>
            </w:r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b/>
                <w:color w:val="666666"/>
                <w:sz w:val="18"/>
                <w:szCs w:val="18"/>
                <w:shd w:val="clear" w:color="auto" w:fill="FFFFFF"/>
                <w:lang w:val="uk-UA"/>
              </w:rPr>
            </w:pPr>
            <w:r w:rsidRPr="00AE47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E4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E47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E474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AE474D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  <w:lang w:val="en-US"/>
                </w:rPr>
                <w:t>cnapsl</w:t>
              </w:r>
              <w:r w:rsidRPr="00AE474D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</w:rPr>
                <w:t>10</w:t>
              </w:r>
              <w:r w:rsidRPr="00AE474D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Pr="00AE474D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</w:rPr>
                <w:t>@</w:t>
              </w:r>
              <w:r w:rsidRPr="00AE474D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  <w:lang w:val="en-US"/>
                </w:rPr>
                <w:t>gmail</w:t>
              </w:r>
              <w:r w:rsidRPr="00AE474D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</w:rPr>
                <w:t>.</w:t>
              </w:r>
              <w:r w:rsidRPr="00AE474D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shd w:val="clear" w:color="auto" w:fill="FFFFFF"/>
                  <w:lang w:val="en-US"/>
                </w:rPr>
                <w:t>com</w:t>
              </w:r>
            </w:hyperlink>
          </w:p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https://www.facebook.com/groups/1923991414483484/</w:t>
            </w:r>
          </w:p>
        </w:tc>
      </w:tr>
      <w:tr w:rsidR="006B1873" w:rsidRPr="00AE474D" w:rsidTr="0000583D">
        <w:tc>
          <w:tcPr>
            <w:tcW w:w="9571" w:type="dxa"/>
            <w:gridSpan w:val="2"/>
          </w:tcPr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Нормативні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акти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якими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регламентується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надання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Закон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6" w:anchor="Text" w:tgtFrame="_blank" w:history="1"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Закон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України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"Про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надання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публічних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(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електронних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публічних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)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послуг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щодо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декларування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та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реєстрації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місця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проживання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в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Україні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" ст. 26</w:t>
              </w:r>
            </w:hyperlink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5. Акти Кабінету Міністрів України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7" w:anchor="Text" w:tgtFrame="_blank" w:history="1"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Постанова КМУ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від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07.02.2022 №265 "Порядок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декларування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та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реєстрації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місця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проживання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(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перебування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)"</w:t>
              </w:r>
            </w:hyperlink>
          </w:p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hyperlink r:id="rId8" w:anchor="Text" w:tgtFrame="_blank" w:history="1"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Постанова КМУ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від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28.12.2020 №1364 "Про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реалізацію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експериментального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проекту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щодо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реєстрації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,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зняття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з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реєстрації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місця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проживання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в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електронній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 xml:space="preserve"> </w:t>
              </w:r>
              <w:proofErr w:type="spellStart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формі</w:t>
              </w:r>
              <w:proofErr w:type="spellEnd"/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FFFFFF"/>
                </w:rPr>
                <w:t>"</w:t>
              </w:r>
            </w:hyperlink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7. Акти місцевих органів виконавчої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органів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B1873" w:rsidRPr="00AE474D" w:rsidTr="0000583D">
        <w:tc>
          <w:tcPr>
            <w:tcW w:w="9571" w:type="dxa"/>
            <w:gridSpan w:val="2"/>
          </w:tcPr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Умови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отримання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 </w:t>
            </w:r>
            <w:proofErr w:type="spellStart"/>
            <w:proofErr w:type="gram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ідстава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отримання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  <w:lang w:val="uk-UA"/>
              </w:rPr>
            </w:pPr>
            <w:r w:rsidRPr="00AE474D">
              <w:rPr>
                <w:color w:val="212529"/>
                <w:sz w:val="18"/>
                <w:szCs w:val="18"/>
                <w:lang w:val="uk-UA"/>
              </w:rPr>
              <w:t xml:space="preserve">За заявою особи, яка декларує або реєструє місце проживання (перебування), власника (співвласника) житла, представників, законних представників особи або власника (співвласника) житла, уповноваженої особи житла, </w:t>
            </w:r>
            <w:proofErr w:type="spellStart"/>
            <w:r w:rsidRPr="00AE474D">
              <w:rPr>
                <w:color w:val="212529"/>
                <w:sz w:val="18"/>
                <w:szCs w:val="18"/>
                <w:lang w:val="uk-UA"/>
              </w:rPr>
              <w:t>іпотекодержателя</w:t>
            </w:r>
            <w:proofErr w:type="spellEnd"/>
            <w:r w:rsidRPr="00AE474D">
              <w:rPr>
                <w:color w:val="212529"/>
                <w:sz w:val="18"/>
                <w:szCs w:val="18"/>
                <w:lang w:val="uk-UA"/>
              </w:rPr>
              <w:t xml:space="preserve"> або довірчого власника орган реєстрації видає витяг із реєстру територіальної громади, що підтверджує зареєстроване або задеклароване місце проживання (перебування) особи, виключення інформації з реєстру територіальної громади про місце проживання (перебування) особи.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Вичерпний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перелі</w:t>
            </w:r>
            <w:proofErr w:type="gram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документів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необхідних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а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також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вимоги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 них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1.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Заява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про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видачу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Витягу</w:t>
            </w:r>
            <w:proofErr w:type="spellEnd"/>
          </w:p>
          <w:p w:rsidR="006B1873" w:rsidRPr="00AE474D" w:rsidRDefault="006B1873" w:rsidP="00005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2.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Паспортний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документ особи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або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довідка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про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за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захистом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в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Україні</w:t>
            </w:r>
            <w:proofErr w:type="spellEnd"/>
          </w:p>
          <w:p w:rsidR="006B1873" w:rsidRPr="00AE474D" w:rsidRDefault="006B1873" w:rsidP="00005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3. </w:t>
            </w:r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Документ,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що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</w:t>
            </w:r>
            <w:proofErr w:type="gram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ідтверджує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право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власності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на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житло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(у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разі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за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витягом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власника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житла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)</w:t>
            </w:r>
          </w:p>
          <w:p w:rsidR="006B1873" w:rsidRPr="00AE474D" w:rsidRDefault="006B1873" w:rsidP="00005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  <w:t xml:space="preserve">4. </w:t>
            </w:r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Документ,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що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</w:t>
            </w:r>
            <w:proofErr w:type="gram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ідтверджує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повноваження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представника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(у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разі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подання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заяви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законним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представником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)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10. Спосіб подання документів, необхідних для отримання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  <w:proofErr w:type="spellStart"/>
            <w:r w:rsidRPr="00AE474D">
              <w:rPr>
                <w:color w:val="212529"/>
                <w:sz w:val="18"/>
                <w:szCs w:val="18"/>
              </w:rPr>
              <w:t>Заява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color w:val="212529"/>
                <w:sz w:val="18"/>
                <w:szCs w:val="18"/>
              </w:rPr>
              <w:t>подається</w:t>
            </w:r>
            <w:proofErr w:type="spellEnd"/>
            <w:proofErr w:type="gram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суб’єктом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в один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із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таких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способів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:</w:t>
            </w: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  <w:r w:rsidRPr="00AE474D">
              <w:rPr>
                <w:color w:val="212529"/>
                <w:sz w:val="18"/>
                <w:szCs w:val="18"/>
              </w:rPr>
              <w:t xml:space="preserve">- в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електронній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формі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-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засобами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Єдиного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gramStart"/>
            <w:r w:rsidRPr="00AE474D">
              <w:rPr>
                <w:color w:val="212529"/>
                <w:sz w:val="18"/>
                <w:szCs w:val="18"/>
              </w:rPr>
              <w:t>державного</w:t>
            </w:r>
            <w:proofErr w:type="gram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веб-порталу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електронних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послуг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;</w:t>
            </w: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  <w:r w:rsidRPr="00AE474D">
              <w:rPr>
                <w:color w:val="212529"/>
                <w:sz w:val="18"/>
                <w:szCs w:val="18"/>
              </w:rPr>
              <w:t xml:space="preserve">- 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паперовій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формі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- </w:t>
            </w:r>
            <w:proofErr w:type="spellStart"/>
            <w:proofErr w:type="gramStart"/>
            <w:r w:rsidRPr="00AE474D">
              <w:rPr>
                <w:color w:val="212529"/>
                <w:sz w:val="18"/>
                <w:szCs w:val="18"/>
              </w:rPr>
              <w:t>п</w:t>
            </w:r>
            <w:proofErr w:type="gramEnd"/>
            <w:r w:rsidRPr="00AE474D">
              <w:rPr>
                <w:color w:val="212529"/>
                <w:sz w:val="18"/>
                <w:szCs w:val="18"/>
              </w:rPr>
              <w:t>ід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час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особистого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відвідування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органу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реєстрації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.</w:t>
            </w: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  <w:r w:rsidRPr="00AE474D">
              <w:rPr>
                <w:color w:val="212529"/>
                <w:sz w:val="18"/>
                <w:szCs w:val="18"/>
              </w:rPr>
              <w:t xml:space="preserve">За запитом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суб’єкта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витяг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може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містити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інформацію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про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задеклароване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/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зареєстроване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місце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проживання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перебування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), про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зняття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із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задекларованого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/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зареєстрованого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місця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проживання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перебування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або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про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скасування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декларування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/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реєстрації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місця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проживання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перебування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 на </w:t>
            </w:r>
            <w:proofErr w:type="spellStart"/>
            <w:proofErr w:type="gramStart"/>
            <w:r w:rsidRPr="00AE474D">
              <w:rPr>
                <w:color w:val="212529"/>
                <w:sz w:val="18"/>
                <w:szCs w:val="18"/>
              </w:rPr>
              <w:t>п</w:t>
            </w:r>
            <w:proofErr w:type="gramEnd"/>
            <w:r w:rsidRPr="00AE474D">
              <w:rPr>
                <w:color w:val="212529"/>
                <w:sz w:val="18"/>
                <w:szCs w:val="18"/>
              </w:rPr>
              <w:t>ідставі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відомостей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що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містяться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відомчій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інформаційній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системі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ДМС,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які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надійшли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від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органів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реєстрації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на дату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формування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r w:rsidRPr="00AE474D">
              <w:rPr>
                <w:color w:val="212529"/>
                <w:sz w:val="18"/>
                <w:szCs w:val="18"/>
              </w:rPr>
              <w:lastRenderedPageBreak/>
              <w:t xml:space="preserve">такого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витягу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.</w:t>
            </w: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  <w:r w:rsidRPr="00AE474D">
              <w:rPr>
                <w:color w:val="212529"/>
                <w:sz w:val="18"/>
                <w:szCs w:val="18"/>
              </w:rPr>
              <w:t xml:space="preserve">Для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посвідчення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особи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суб’єкта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color w:val="212529"/>
                <w:sz w:val="18"/>
                <w:szCs w:val="18"/>
              </w:rPr>
              <w:t>п</w:t>
            </w:r>
            <w:proofErr w:type="gramEnd"/>
            <w:r w:rsidRPr="00AE474D">
              <w:rPr>
                <w:color w:val="212529"/>
                <w:sz w:val="18"/>
                <w:szCs w:val="18"/>
              </w:rPr>
              <w:t>ід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час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особистого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відвідування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органу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реєстрації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пред’являється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паспортний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документ особи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або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довідка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про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за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захистом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в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Україні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. 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разі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законним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представником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представником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додатково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подається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документ,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що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посвідчує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його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особу та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підтверджує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повноваження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. 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разі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за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отриманням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витягу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власником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житла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додатково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подається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документ,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що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color w:val="212529"/>
                <w:sz w:val="18"/>
                <w:szCs w:val="18"/>
              </w:rPr>
              <w:t>п</w:t>
            </w:r>
            <w:proofErr w:type="gramEnd"/>
            <w:r w:rsidRPr="00AE474D">
              <w:rPr>
                <w:color w:val="212529"/>
                <w:sz w:val="18"/>
                <w:szCs w:val="18"/>
              </w:rPr>
              <w:t>ідтверджує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право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власності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на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житло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.</w:t>
            </w: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  <w:proofErr w:type="spellStart"/>
            <w:r w:rsidRPr="00AE474D">
              <w:rPr>
                <w:color w:val="212529"/>
                <w:sz w:val="18"/>
                <w:szCs w:val="18"/>
              </w:rPr>
              <w:t>Витяг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паперовій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формі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видається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працівником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органу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реєстрації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або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центру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надання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адміністративних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послуг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особі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або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її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законному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представнику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представнику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що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подали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паспортний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документ та документ,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що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color w:val="212529"/>
                <w:sz w:val="18"/>
                <w:szCs w:val="18"/>
              </w:rPr>
              <w:t>п</w:t>
            </w:r>
            <w:proofErr w:type="gramEnd"/>
            <w:r w:rsidRPr="00AE474D">
              <w:rPr>
                <w:color w:val="212529"/>
                <w:sz w:val="18"/>
                <w:szCs w:val="18"/>
              </w:rPr>
              <w:t>ідтверджує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право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власності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на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житло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(у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разі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за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витягом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власника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житла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повноваження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законного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),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після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перевірки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їх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належності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та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дійсності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.</w:t>
            </w: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  <w:r w:rsidRPr="00AE474D">
              <w:rPr>
                <w:color w:val="212529"/>
                <w:sz w:val="18"/>
                <w:szCs w:val="18"/>
              </w:rPr>
              <w:t xml:space="preserve">За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особи, законного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представника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витяг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із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реєстру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територіальної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громади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також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color w:val="212529"/>
                <w:sz w:val="18"/>
                <w:szCs w:val="18"/>
              </w:rPr>
              <w:t>може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</w:t>
            </w:r>
            <w:proofErr w:type="gramEnd"/>
            <w:r w:rsidRPr="00AE474D">
              <w:rPr>
                <w:color w:val="212529"/>
                <w:sz w:val="18"/>
                <w:szCs w:val="18"/>
              </w:rPr>
              <w:t>істити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інформацію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про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попередні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періоди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задекларованого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>/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зареєстрованого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місця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проживання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(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перебування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) особи в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адміністративно-територіальній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одиниці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за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місцем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color w:val="212529"/>
                <w:sz w:val="18"/>
                <w:szCs w:val="18"/>
              </w:rPr>
              <w:t>звернення</w:t>
            </w:r>
            <w:proofErr w:type="spellEnd"/>
            <w:r w:rsidRPr="00AE474D">
              <w:rPr>
                <w:color w:val="212529"/>
                <w:sz w:val="18"/>
                <w:szCs w:val="18"/>
              </w:rPr>
              <w:t xml:space="preserve"> особи.</w:t>
            </w:r>
          </w:p>
          <w:p w:rsidR="006B1873" w:rsidRPr="00AE474D" w:rsidRDefault="006B1873" w:rsidP="0000583D">
            <w:pPr>
              <w:pStyle w:val="a4"/>
              <w:shd w:val="clear" w:color="auto" w:fill="FFFFFF"/>
              <w:spacing w:before="0" w:beforeAutospacing="0" w:after="0" w:afterAutospacing="0"/>
              <w:ind w:firstLine="243"/>
              <w:jc w:val="both"/>
              <w:rPr>
                <w:color w:val="212529"/>
                <w:sz w:val="18"/>
                <w:szCs w:val="18"/>
              </w:rPr>
            </w:pPr>
          </w:p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Витяги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реєстру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територіальної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громади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,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отримані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в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електронній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або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паперовій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формі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,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мають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однакову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юридичну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силу. 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11. Платність (безоплатність) надання адміністративної послуги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Безоплатне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надання</w:t>
            </w:r>
            <w:proofErr w:type="spellEnd"/>
          </w:p>
        </w:tc>
      </w:tr>
      <w:tr w:rsidR="006B1873" w:rsidRPr="00AE474D" w:rsidTr="0000583D">
        <w:tc>
          <w:tcPr>
            <w:tcW w:w="9571" w:type="dxa"/>
            <w:gridSpan w:val="2"/>
          </w:tcPr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proofErr w:type="gram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разі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платності</w:t>
            </w:r>
            <w:proofErr w:type="spellEnd"/>
            <w:r w:rsidRPr="00AE47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11.1.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Нормативно-правові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на </w:t>
            </w:r>
            <w:proofErr w:type="spellStart"/>
            <w:proofErr w:type="gram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ідставі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яких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стягується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плата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11.2.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Розмі</w:t>
            </w:r>
            <w:proofErr w:type="gram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порядок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плати(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адміністративного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збору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за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платну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адміністративну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11.3.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Розрахунковий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рахунок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внесення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плати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12. Строк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1 день (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календарні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Перелік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ідстав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відмови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державній реєстрації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Відсутність необхідних документів 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14. Результат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адміністративної</w:t>
            </w:r>
            <w:proofErr w:type="spellEnd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6B1873" w:rsidRPr="00AE474D" w:rsidRDefault="006B1873" w:rsidP="0000583D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Витяг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реєстру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територіальної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громади</w:t>
            </w:r>
            <w:proofErr w:type="spellEnd"/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 </w:t>
            </w: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Можливі способи отримання відповіді (результату)</w:t>
            </w:r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Отримати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результати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надання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послуги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заявник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може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особисто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або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через законного </w:t>
            </w:r>
            <w:proofErr w:type="spell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представника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чи</w:t>
            </w:r>
            <w:proofErr w:type="spell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на</w:t>
            </w:r>
            <w:proofErr w:type="gramEnd"/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сайті: </w:t>
            </w:r>
            <w:hyperlink r:id="rId9" w:history="1">
              <w:r w:rsidRPr="00AE474D">
                <w:rPr>
                  <w:rStyle w:val="a3"/>
                  <w:rFonts w:ascii="Times New Roman" w:hAnsi="Times New Roman" w:cs="Times New Roman"/>
                  <w:color w:val="000000"/>
                  <w:sz w:val="18"/>
                  <w:szCs w:val="18"/>
                </w:rPr>
                <w:t>https://diia.gov.ua/services/vityag-z-reyestru-teritorialnoyi-gromadi</w:t>
              </w:r>
            </w:hyperlink>
            <w:r w:rsidRPr="00AE474D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.</w:t>
            </w:r>
          </w:p>
        </w:tc>
      </w:tr>
      <w:tr w:rsidR="006B1873" w:rsidRPr="00AE474D" w:rsidTr="0000583D">
        <w:tc>
          <w:tcPr>
            <w:tcW w:w="4785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16. </w:t>
            </w:r>
            <w:proofErr w:type="spellStart"/>
            <w:r w:rsidRPr="00AE47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6B1873" w:rsidRPr="00AE474D" w:rsidRDefault="006B1873" w:rsidP="000058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9C164B" w:rsidRDefault="009C164B"/>
    <w:sectPr w:rsidR="009C164B" w:rsidSect="009C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6B1873"/>
    <w:rsid w:val="00042514"/>
    <w:rsid w:val="00060DE7"/>
    <w:rsid w:val="001A7D58"/>
    <w:rsid w:val="003A21FE"/>
    <w:rsid w:val="00512845"/>
    <w:rsid w:val="006B1873"/>
    <w:rsid w:val="00717F1B"/>
    <w:rsid w:val="009C164B"/>
    <w:rsid w:val="00BF0C59"/>
    <w:rsid w:val="00FA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73"/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87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B18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64-2020-%D0%B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65-2022-%D0%B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871-IX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napsl10b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iia.gov.ua/services/vityag-z-reyestru-teritorialnoyi-gromad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5C21F-14DF-41E2-B5C0-E70398D6E841}"/>
</file>

<file path=customXml/itemProps2.xml><?xml version="1.0" encoding="utf-8"?>
<ds:datastoreItem xmlns:ds="http://schemas.openxmlformats.org/officeDocument/2006/customXml" ds:itemID="{C707065A-E47D-478C-B23E-79B42A0585CD}"/>
</file>

<file path=customXml/itemProps3.xml><?xml version="1.0" encoding="utf-8"?>
<ds:datastoreItem xmlns:ds="http://schemas.openxmlformats.org/officeDocument/2006/customXml" ds:itemID="{CAF8C207-F4EA-4E23-863F-4D26A9AD58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4864</Characters>
  <Application>Microsoft Office Word</Application>
  <DocSecurity>0</DocSecurity>
  <Lines>40</Lines>
  <Paragraphs>11</Paragraphs>
  <ScaleCrop>false</ScaleCrop>
  <Company>Microsoft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2022-10-05T08:08:00Z</dcterms:created>
  <dcterms:modified xsi:type="dcterms:W3CDTF">2022-10-05T08:08:00Z</dcterms:modified>
</cp:coreProperties>
</file>