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25"/>
        <w:gridCol w:w="4726"/>
      </w:tblGrid>
      <w:tr w:rsidR="00EA7B80" w:rsidRPr="007B6391" w:rsidTr="00034D1A">
        <w:tc>
          <w:tcPr>
            <w:tcW w:w="4725" w:type="dxa"/>
            <w:vAlign w:val="center"/>
          </w:tcPr>
          <w:p w:rsidR="00EA7B80" w:rsidRPr="005B6FD8" w:rsidRDefault="00EA7B80" w:rsidP="0003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1107440</wp:posOffset>
                  </wp:positionH>
                  <wp:positionV relativeFrom="paragraph">
                    <wp:posOffset>34925</wp:posOffset>
                  </wp:positionV>
                  <wp:extent cx="772160" cy="875665"/>
                  <wp:effectExtent l="19050" t="0" r="8890" b="0"/>
                  <wp:wrapThrough wrapText="bothSides">
                    <wp:wrapPolygon edited="0">
                      <wp:start x="-533" y="0"/>
                      <wp:lineTo x="-533" y="21146"/>
                      <wp:lineTo x="21849" y="21146"/>
                      <wp:lineTo x="21849" y="0"/>
                      <wp:lineTo x="-533" y="0"/>
                    </wp:wrapPolygon>
                  </wp:wrapThrough>
                  <wp:docPr id="66" name="Рисунок 1" descr="sursko-lytovska_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60" cy="87566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26" w:type="dxa"/>
          </w:tcPr>
          <w:p w:rsidR="00EA7B80" w:rsidRPr="005B6FD8" w:rsidRDefault="00EA7B80" w:rsidP="00034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ІНФОРМАЦІЙНА КАРТКА 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93</w:t>
            </w:r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 (</w:t>
            </w:r>
            <w:r w:rsidRPr="00EA7B8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01746</w:t>
            </w:r>
            <w:r w:rsidRPr="00C612C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  <w:lang w:val="uk-UA"/>
              </w:rPr>
              <w:t>ДІЯ</w:t>
            </w:r>
            <w:r w:rsidRPr="005B6FD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val="uk-UA"/>
              </w:rPr>
              <w:t>)</w:t>
            </w:r>
          </w:p>
          <w:p w:rsidR="00EA7B80" w:rsidRPr="005B6FD8" w:rsidRDefault="00EA7B80" w:rsidP="00034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адміністративної послуги</w:t>
            </w:r>
          </w:p>
          <w:p w:rsidR="00EA7B80" w:rsidRPr="00EA7B80" w:rsidRDefault="00EA7B80" w:rsidP="00034D1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212529"/>
                <w:sz w:val="16"/>
                <w:szCs w:val="16"/>
                <w:lang w:val="uk-UA"/>
              </w:rPr>
            </w:pPr>
            <w:r w:rsidRPr="00EA7B80">
              <w:rPr>
                <w:rFonts w:ascii="Times New Roman" w:hAnsi="Times New Roman" w:cs="Times New Roman"/>
                <w:b w:val="0"/>
                <w:bCs w:val="0"/>
                <w:color w:val="212529"/>
                <w:sz w:val="16"/>
                <w:szCs w:val="16"/>
                <w:lang w:val="uk-UA"/>
              </w:rPr>
              <w:t>Грошова компенсація за зруйноване житло внаслідок збройної агресії РФ</w:t>
            </w:r>
          </w:p>
          <w:p w:rsidR="00EA7B80" w:rsidRPr="007B6391" w:rsidRDefault="00EA7B80" w:rsidP="00034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B63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Виконавчий комітет </w:t>
            </w:r>
            <w:proofErr w:type="spellStart"/>
            <w:r w:rsidRPr="007B63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Сурсько-Литовської</w:t>
            </w:r>
            <w:proofErr w:type="spellEnd"/>
            <w:r w:rsidRPr="007B63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 сільської ради Дніпровського  району  Дніпропетровської області</w:t>
            </w:r>
          </w:p>
        </w:tc>
      </w:tr>
      <w:tr w:rsidR="00EA7B80" w:rsidRPr="00EA7B80" w:rsidTr="00034D1A">
        <w:tc>
          <w:tcPr>
            <w:tcW w:w="9451" w:type="dxa"/>
            <w:gridSpan w:val="2"/>
          </w:tcPr>
          <w:p w:rsidR="00EA7B80" w:rsidRPr="005B6FD8" w:rsidRDefault="00EA7B80" w:rsidP="00034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Інформація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про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суб’єкта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надання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послуги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11"/>
              <w:gridCol w:w="4614"/>
            </w:tblGrid>
            <w:tr w:rsidR="00EA7B80" w:rsidRPr="00EA7B80" w:rsidTr="00034D1A">
              <w:tc>
                <w:tcPr>
                  <w:tcW w:w="4670" w:type="dxa"/>
                </w:tcPr>
                <w:p w:rsidR="00EA7B80" w:rsidRPr="005B6FD8" w:rsidRDefault="00EA7B80" w:rsidP="00034D1A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B6FD8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Найменування органу, в якому здійснюється обслуговування суб’єкта звернення</w:t>
                  </w:r>
                </w:p>
              </w:tc>
              <w:tc>
                <w:tcPr>
                  <w:tcW w:w="4670" w:type="dxa"/>
                </w:tcPr>
                <w:p w:rsidR="00EA7B80" w:rsidRPr="00E07D86" w:rsidRDefault="00EA7B80" w:rsidP="00034D1A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07D86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 xml:space="preserve">Центр надання адміністративних послуг Виконавчого комітету </w:t>
                  </w:r>
                  <w:proofErr w:type="spellStart"/>
                  <w:r w:rsidRPr="00E07D86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Сурсько-Литовської</w:t>
                  </w:r>
                  <w:proofErr w:type="spellEnd"/>
                  <w:r w:rsidRPr="00E07D86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 xml:space="preserve"> сільської ради Дніпровського  району  Дніпропетровської області</w:t>
                  </w:r>
                </w:p>
              </w:tc>
            </w:tr>
          </w:tbl>
          <w:p w:rsidR="00EA7B80" w:rsidRPr="00EA7B80" w:rsidRDefault="00EA7B80" w:rsidP="00034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EA7B80" w:rsidRPr="005B6FD8" w:rsidTr="00034D1A">
        <w:tc>
          <w:tcPr>
            <w:tcW w:w="4725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Місцезнаходження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суб’єкта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адмістративної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  <w:tc>
          <w:tcPr>
            <w:tcW w:w="4726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52064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Дніпропетровська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область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Дніпровський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айо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</w:p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Сурсько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-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Литовське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вул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Польова, 58 (Відділ)</w:t>
            </w:r>
          </w:p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52064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Дніпропетровська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область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Дніпровський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айо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</w:p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Сурсько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-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Литовське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вул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Центральна,10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-Б (ЦНАП)</w:t>
            </w:r>
          </w:p>
        </w:tc>
      </w:tr>
      <w:tr w:rsidR="00EA7B80" w:rsidRPr="005B6FD8" w:rsidTr="00034D1A">
        <w:tc>
          <w:tcPr>
            <w:tcW w:w="4725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Інформація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щодо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режиму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роботи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суб’єкта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</w:p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6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(Відділ) понеділок, четвер 8:00 – 17:00</w:t>
            </w:r>
          </w:p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вівторок, середа,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п’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ятниця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робота 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 документами та підготовка звітів</w:t>
            </w:r>
          </w:p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перерва на обід з 12:00 до 13:00</w:t>
            </w:r>
          </w:p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вихідний – субота, неділя та святкові дні</w:t>
            </w:r>
          </w:p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(ЦНАП) понеділок, вівторок, середа, четвер 8:00 – 17:00</w:t>
            </w:r>
          </w:p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п’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ятниця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суббота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: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8:00 – 16: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00</w:t>
            </w:r>
          </w:p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без перерви на обід</w:t>
            </w:r>
          </w:p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вихідний –</w:t>
            </w: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неділя та святкові дні</w:t>
            </w:r>
          </w:p>
        </w:tc>
      </w:tr>
      <w:tr w:rsidR="00EA7B80" w:rsidRPr="005B6FD8" w:rsidTr="00034D1A">
        <w:tc>
          <w:tcPr>
            <w:tcW w:w="4725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 Телефон/факс (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довідки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адреса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електронної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пошти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веб-сайт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суб’єкта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  <w:tc>
          <w:tcPr>
            <w:tcW w:w="4726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(Виконком) тел. 050-721-93-53</w:t>
            </w:r>
          </w:p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B6F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5B6FD8">
                <w:rPr>
                  <w:rFonts w:ascii="Times New Roman" w:hAnsi="Times New Roman" w:cs="Times New Roman"/>
                  <w:sz w:val="16"/>
                  <w:szCs w:val="16"/>
                  <w:shd w:val="clear" w:color="auto" w:fill="F6F6F6"/>
                  <w:lang w:val="en-US"/>
                </w:rPr>
                <w:t>surlitgromada</w:t>
              </w:r>
              <w:r w:rsidRPr="005B6FD8">
                <w:rPr>
                  <w:rFonts w:ascii="Times New Roman" w:hAnsi="Times New Roman" w:cs="Times New Roman"/>
                  <w:sz w:val="16"/>
                  <w:szCs w:val="16"/>
                  <w:shd w:val="clear" w:color="auto" w:fill="F6F6F6"/>
                </w:rPr>
                <w:t>@</w:t>
              </w:r>
              <w:r w:rsidRPr="005B6FD8">
                <w:rPr>
                  <w:rFonts w:ascii="Times New Roman" w:hAnsi="Times New Roman" w:cs="Times New Roman"/>
                  <w:sz w:val="16"/>
                  <w:szCs w:val="16"/>
                  <w:shd w:val="clear" w:color="auto" w:fill="F6F6F6"/>
                  <w:lang w:val="en-US"/>
                </w:rPr>
                <w:t>gmail</w:t>
              </w:r>
              <w:r w:rsidRPr="005B6FD8">
                <w:rPr>
                  <w:rFonts w:ascii="Times New Roman" w:hAnsi="Times New Roman" w:cs="Times New Roman"/>
                  <w:sz w:val="16"/>
                  <w:szCs w:val="16"/>
                  <w:shd w:val="clear" w:color="auto" w:fill="F6F6F6"/>
                </w:rPr>
                <w:t>.</w:t>
              </w:r>
              <w:r w:rsidRPr="005B6FD8">
                <w:rPr>
                  <w:rFonts w:ascii="Times New Roman" w:hAnsi="Times New Roman" w:cs="Times New Roman"/>
                  <w:sz w:val="16"/>
                  <w:szCs w:val="16"/>
                  <w:shd w:val="clear" w:color="auto" w:fill="F6F6F6"/>
                  <w:lang w:val="en-US"/>
                </w:rPr>
                <w:t>com</w:t>
              </w:r>
            </w:hyperlink>
          </w:p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(ЦНАП) тел. 099 090 06 08</w:t>
            </w:r>
          </w:p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BDC1C6"/>
                <w:spacing w:val="8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B6F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EA7B80" w:rsidRPr="005B6FD8" w:rsidRDefault="00BC031C" w:rsidP="00034D1A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16"/>
                <w:szCs w:val="16"/>
                <w:lang w:val="uk-UA"/>
              </w:rPr>
            </w:pPr>
            <w:hyperlink r:id="rId7" w:history="1">
              <w:r w:rsidR="00EA7B80" w:rsidRPr="005B6FD8">
                <w:rPr>
                  <w:rFonts w:ascii="Times New Roman" w:hAnsi="Times New Roman" w:cs="Times New Roman"/>
                  <w:color w:val="0000FF"/>
                  <w:spacing w:val="8"/>
                  <w:sz w:val="16"/>
                  <w:szCs w:val="16"/>
                  <w:u w:val="single"/>
                  <w:lang w:val="en-US"/>
                </w:rPr>
                <w:t>cnapsl</w:t>
              </w:r>
              <w:r w:rsidR="00EA7B80" w:rsidRPr="005B6FD8">
                <w:rPr>
                  <w:rFonts w:ascii="Times New Roman" w:hAnsi="Times New Roman" w:cs="Times New Roman"/>
                  <w:color w:val="0000FF"/>
                  <w:spacing w:val="8"/>
                  <w:sz w:val="16"/>
                  <w:szCs w:val="16"/>
                  <w:u w:val="single"/>
                  <w:lang w:val="uk-UA"/>
                </w:rPr>
                <w:t>10</w:t>
              </w:r>
              <w:r w:rsidR="00EA7B80" w:rsidRPr="005B6FD8">
                <w:rPr>
                  <w:rFonts w:ascii="Times New Roman" w:hAnsi="Times New Roman" w:cs="Times New Roman"/>
                  <w:color w:val="0000FF"/>
                  <w:spacing w:val="8"/>
                  <w:sz w:val="16"/>
                  <w:szCs w:val="16"/>
                  <w:u w:val="single"/>
                  <w:lang w:val="en-US"/>
                </w:rPr>
                <w:t>b</w:t>
              </w:r>
              <w:r w:rsidR="00EA7B80" w:rsidRPr="005B6FD8">
                <w:rPr>
                  <w:rFonts w:ascii="Times New Roman" w:hAnsi="Times New Roman" w:cs="Times New Roman"/>
                  <w:color w:val="0000FF"/>
                  <w:spacing w:val="8"/>
                  <w:sz w:val="16"/>
                  <w:szCs w:val="16"/>
                  <w:u w:val="single"/>
                  <w:lang w:val="uk-UA"/>
                </w:rPr>
                <w:t>@</w:t>
              </w:r>
              <w:r w:rsidR="00EA7B80" w:rsidRPr="005B6FD8">
                <w:rPr>
                  <w:rFonts w:ascii="Times New Roman" w:hAnsi="Times New Roman" w:cs="Times New Roman"/>
                  <w:color w:val="0000FF"/>
                  <w:spacing w:val="8"/>
                  <w:sz w:val="16"/>
                  <w:szCs w:val="16"/>
                  <w:u w:val="single"/>
                  <w:lang w:val="en-US"/>
                </w:rPr>
                <w:t>gmail</w:t>
              </w:r>
              <w:r w:rsidR="00EA7B80" w:rsidRPr="005B6FD8">
                <w:rPr>
                  <w:rFonts w:ascii="Times New Roman" w:hAnsi="Times New Roman" w:cs="Times New Roman"/>
                  <w:color w:val="0000FF"/>
                  <w:spacing w:val="8"/>
                  <w:sz w:val="16"/>
                  <w:szCs w:val="16"/>
                  <w:u w:val="single"/>
                  <w:lang w:val="uk-UA"/>
                </w:rPr>
                <w:t>.</w:t>
              </w:r>
              <w:r w:rsidR="00EA7B80" w:rsidRPr="005B6FD8">
                <w:rPr>
                  <w:rFonts w:ascii="Times New Roman" w:hAnsi="Times New Roman" w:cs="Times New Roman"/>
                  <w:color w:val="0000FF"/>
                  <w:spacing w:val="8"/>
                  <w:sz w:val="16"/>
                  <w:szCs w:val="16"/>
                  <w:u w:val="single"/>
                  <w:lang w:val="en-US"/>
                </w:rPr>
                <w:t>com</w:t>
              </w:r>
            </w:hyperlink>
          </w:p>
          <w:p w:rsidR="00EA7B80" w:rsidRPr="005B6FD8" w:rsidRDefault="00BC031C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8" w:history="1">
              <w:r w:rsidR="00EA7B80" w:rsidRPr="005B6FD8">
                <w:rPr>
                  <w:rFonts w:ascii="Times New Roman" w:hAnsi="Times New Roman" w:cs="Times New Roman"/>
                  <w:color w:val="0000FF"/>
                  <w:spacing w:val="8"/>
                  <w:sz w:val="16"/>
                  <w:szCs w:val="16"/>
                  <w:u w:val="single"/>
                  <w:lang w:val="en-US"/>
                </w:rPr>
                <w:t>ro1978@i.ua</w:t>
              </w:r>
            </w:hyperlink>
          </w:p>
        </w:tc>
      </w:tr>
      <w:tr w:rsidR="00EA7B80" w:rsidRPr="005B6FD8" w:rsidTr="00034D1A">
        <w:tc>
          <w:tcPr>
            <w:tcW w:w="9451" w:type="dxa"/>
            <w:gridSpan w:val="2"/>
          </w:tcPr>
          <w:p w:rsidR="00EA7B80" w:rsidRPr="005B6FD8" w:rsidRDefault="00EA7B80" w:rsidP="00034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Нормативні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якими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регламентується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надання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</w:tr>
      <w:tr w:rsidR="00EA7B80" w:rsidRPr="00035FE9" w:rsidTr="00034D1A">
        <w:tc>
          <w:tcPr>
            <w:tcW w:w="4725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4. Закон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4726" w:type="dxa"/>
          </w:tcPr>
          <w:p w:rsidR="00EA7B80" w:rsidRPr="008E63BA" w:rsidRDefault="00BC031C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anchor="Text" w:tgtFrame="_blank" w:history="1">
              <w:r w:rsidR="00EA7B80" w:rsidRPr="008E63BA">
                <w:rPr>
                  <w:rStyle w:val="a4"/>
                  <w:rFonts w:ascii="Times New Roman" w:eastAsiaTheme="majorEastAsia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Кодекс </w:t>
              </w:r>
              <w:proofErr w:type="spellStart"/>
              <w:r w:rsidR="00EA7B80" w:rsidRPr="008E63BA">
                <w:rPr>
                  <w:rStyle w:val="a4"/>
                  <w:rFonts w:ascii="Times New Roman" w:eastAsiaTheme="majorEastAsia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Бюджетний</w:t>
              </w:r>
              <w:proofErr w:type="spellEnd"/>
              <w:r w:rsidR="00EA7B80" w:rsidRPr="008E63BA">
                <w:rPr>
                  <w:rStyle w:val="a4"/>
                  <w:rFonts w:ascii="Times New Roman" w:eastAsiaTheme="majorEastAsia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кодекс ч.7. ст. 20</w:t>
              </w:r>
            </w:hyperlink>
          </w:p>
        </w:tc>
      </w:tr>
      <w:tr w:rsidR="00EA7B80" w:rsidRPr="00035FE9" w:rsidTr="00034D1A">
        <w:tc>
          <w:tcPr>
            <w:tcW w:w="4725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Кабінету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Міні</w:t>
            </w:r>
            <w:proofErr w:type="gram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ів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4726" w:type="dxa"/>
          </w:tcPr>
          <w:p w:rsidR="00EA7B80" w:rsidRPr="00940525" w:rsidRDefault="00BC031C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10" w:anchor="Text" w:tgtFrame="_blank" w:history="1">
              <w:r w:rsidR="00EA7B80" w:rsidRPr="00940525">
                <w:rPr>
                  <w:rStyle w:val="a4"/>
                  <w:rFonts w:ascii="Times New Roman" w:eastAsiaTheme="majorEastAsia" w:hAnsi="Times New Roman" w:cs="Times New Roman"/>
                  <w:color w:val="000000"/>
                  <w:sz w:val="16"/>
                  <w:szCs w:val="16"/>
                  <w:shd w:val="clear" w:color="auto" w:fill="FFFFFF"/>
                  <w:lang w:val="uk-UA"/>
                </w:rPr>
                <w:t xml:space="preserve">Постанова КМУ від 02.09.2020 №767 "Питання виплати грошової компенсації постраждалим, житлові будинки (квартири) яких зруйновано внаслідок надзвичайної ситуації воєнного характеру, спричиненої збройною агресією </w:t>
              </w:r>
              <w:proofErr w:type="spellStart"/>
              <w:r w:rsidR="00EA7B80" w:rsidRPr="00940525">
                <w:rPr>
                  <w:rStyle w:val="a4"/>
                  <w:rFonts w:ascii="Times New Roman" w:eastAsiaTheme="majorEastAsia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Російської</w:t>
              </w:r>
              <w:proofErr w:type="spellEnd"/>
              <w:r w:rsidR="00EA7B80" w:rsidRPr="00940525">
                <w:rPr>
                  <w:rStyle w:val="a4"/>
                  <w:rFonts w:ascii="Times New Roman" w:eastAsiaTheme="majorEastAsia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="00EA7B80" w:rsidRPr="00940525">
                <w:rPr>
                  <w:rStyle w:val="a4"/>
                  <w:rFonts w:ascii="Times New Roman" w:eastAsiaTheme="majorEastAsia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Федерації</w:t>
              </w:r>
              <w:proofErr w:type="spellEnd"/>
              <w:r w:rsidR="00EA7B80" w:rsidRPr="00940525">
                <w:rPr>
                  <w:rStyle w:val="a4"/>
                  <w:rFonts w:ascii="Times New Roman" w:eastAsiaTheme="majorEastAsia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" п. 16</w:t>
              </w:r>
            </w:hyperlink>
          </w:p>
        </w:tc>
      </w:tr>
      <w:tr w:rsidR="00EA7B80" w:rsidRPr="005B6FD8" w:rsidTr="00034D1A">
        <w:tc>
          <w:tcPr>
            <w:tcW w:w="4725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центральних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органів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виконавчої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влади</w:t>
            </w:r>
            <w:proofErr w:type="spellEnd"/>
          </w:p>
        </w:tc>
        <w:tc>
          <w:tcPr>
            <w:tcW w:w="4726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A7B80" w:rsidRPr="005B6FD8" w:rsidTr="00034D1A">
        <w:tc>
          <w:tcPr>
            <w:tcW w:w="4725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Акти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місцевих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органів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виконавчої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влади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органів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місцевого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самоврядування</w:t>
            </w:r>
            <w:proofErr w:type="spellEnd"/>
          </w:p>
        </w:tc>
        <w:tc>
          <w:tcPr>
            <w:tcW w:w="4726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A7B80" w:rsidRPr="005B6FD8" w:rsidTr="00034D1A">
        <w:tc>
          <w:tcPr>
            <w:tcW w:w="9451" w:type="dxa"/>
            <w:gridSpan w:val="2"/>
          </w:tcPr>
          <w:p w:rsidR="00EA7B80" w:rsidRPr="005B6FD8" w:rsidRDefault="00EA7B80" w:rsidP="00034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Умови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отримання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послуги</w:t>
            </w:r>
            <w:proofErr w:type="spellEnd"/>
          </w:p>
        </w:tc>
      </w:tr>
      <w:tr w:rsidR="00EA7B80" w:rsidRPr="00A56395" w:rsidTr="00034D1A">
        <w:tc>
          <w:tcPr>
            <w:tcW w:w="4725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8. </w:t>
            </w:r>
            <w:proofErr w:type="spellStart"/>
            <w:proofErr w:type="gram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ідстава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одержання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sz w:val="16"/>
                <w:szCs w:val="16"/>
              </w:rPr>
              <w:t>послуги</w:t>
            </w:r>
            <w:proofErr w:type="spellEnd"/>
          </w:p>
        </w:tc>
        <w:tc>
          <w:tcPr>
            <w:tcW w:w="4726" w:type="dxa"/>
          </w:tcPr>
          <w:p w:rsidR="00EA7B80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Постраждалі, які є власниками житла, яке перебуває на контрольованих Україною територіях та було зруйновано внаслідок надзвичайної ситуації воєнного характеру, спричиненої збройною агресією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Російської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Федерації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мають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право на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отримання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грошової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компенсації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після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проведення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обстеження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житла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. Для того,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щоб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отримати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компенсацію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потрібно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звернутись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до органу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місцевого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самоврядування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військово-цивільної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адм</w:t>
            </w:r>
            <w:proofErr w:type="gram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іністрації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за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місцем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розташування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зруйнованого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житла</w:t>
            </w:r>
            <w:proofErr w:type="spellEnd"/>
            <w:r w:rsidRPr="00D5150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EA7B80" w:rsidRPr="00D51507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Подати </w:t>
            </w:r>
            <w:proofErr w:type="spellStart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заяву</w:t>
            </w:r>
            <w:proofErr w:type="spellEnd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на </w:t>
            </w:r>
            <w:proofErr w:type="spellStart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отримання</w:t>
            </w:r>
            <w:proofErr w:type="spellEnd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послуги</w:t>
            </w:r>
            <w:proofErr w:type="spellEnd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заявник</w:t>
            </w:r>
            <w:proofErr w:type="spellEnd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може</w:t>
            </w:r>
            <w:proofErr w:type="spellEnd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особисто</w:t>
            </w:r>
            <w:proofErr w:type="spellEnd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або</w:t>
            </w:r>
            <w:proofErr w:type="spellEnd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через </w:t>
            </w:r>
            <w:proofErr w:type="gramStart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законного</w:t>
            </w:r>
            <w:proofErr w:type="gramEnd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представника</w:t>
            </w:r>
            <w:proofErr w:type="spellEnd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, шляхом </w:t>
            </w:r>
            <w:proofErr w:type="spellStart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відправлення</w:t>
            </w:r>
            <w:proofErr w:type="spellEnd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документів</w:t>
            </w:r>
            <w:proofErr w:type="spellEnd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поштою</w:t>
            </w:r>
            <w:proofErr w:type="spellEnd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рекомендованим</w:t>
            </w:r>
            <w:proofErr w:type="spellEnd"/>
            <w:r w:rsidRPr="00D51507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листом).</w:t>
            </w:r>
          </w:p>
        </w:tc>
      </w:tr>
      <w:tr w:rsidR="00EA7B80" w:rsidRPr="005B6FD8" w:rsidTr="00034D1A">
        <w:tc>
          <w:tcPr>
            <w:tcW w:w="4725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Вичерпний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перелік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документів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необхідних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отримання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</w:t>
            </w:r>
            <w:proofErr w:type="gram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іністративної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а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також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вимоги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 них</w:t>
            </w:r>
          </w:p>
        </w:tc>
        <w:tc>
          <w:tcPr>
            <w:tcW w:w="4726" w:type="dxa"/>
          </w:tcPr>
          <w:p w:rsidR="00EA7B80" w:rsidRPr="00D51507" w:rsidRDefault="00BC031C" w:rsidP="00034D1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proofErr w:type="spellStart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>Заява</w:t>
              </w:r>
              <w:proofErr w:type="spellEnd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 xml:space="preserve"> про </w:t>
              </w:r>
              <w:proofErr w:type="spellStart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>проведення</w:t>
              </w:r>
              <w:proofErr w:type="spellEnd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>обстеження</w:t>
              </w:r>
              <w:proofErr w:type="spellEnd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>житла</w:t>
              </w:r>
              <w:proofErr w:type="spellEnd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 xml:space="preserve">, </w:t>
              </w:r>
              <w:proofErr w:type="spellStart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>зруйнованого</w:t>
              </w:r>
              <w:proofErr w:type="spellEnd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>внаслідок</w:t>
              </w:r>
              <w:proofErr w:type="spellEnd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>надзвичайної</w:t>
              </w:r>
              <w:proofErr w:type="spellEnd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>ситуації</w:t>
              </w:r>
              <w:proofErr w:type="spellEnd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>воєнного</w:t>
              </w:r>
              <w:proofErr w:type="spellEnd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 xml:space="preserve"> характеру, </w:t>
              </w:r>
              <w:proofErr w:type="spellStart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>спричиненої</w:t>
              </w:r>
              <w:proofErr w:type="spellEnd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>збройною</w:t>
              </w:r>
              <w:proofErr w:type="spellEnd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>агресією</w:t>
              </w:r>
              <w:proofErr w:type="spellEnd"/>
              <w:proofErr w:type="gramStart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>Р</w:t>
              </w:r>
              <w:proofErr w:type="gramEnd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>осійської</w:t>
              </w:r>
              <w:proofErr w:type="spellEnd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EA7B80" w:rsidRPr="00D51507">
                <w:rPr>
                  <w:rStyle w:val="a4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>Федерації</w:t>
              </w:r>
              <w:proofErr w:type="spellEnd"/>
            </w:hyperlink>
          </w:p>
          <w:p w:rsidR="00EA7B80" w:rsidRPr="00D51507" w:rsidRDefault="00EA7B80" w:rsidP="00034D1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Копія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документа,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що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посвідчує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особу та </w:t>
            </w:r>
            <w:proofErr w:type="spellStart"/>
            <w:proofErr w:type="gram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ідтверджує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громадянство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або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документа,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що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посвідчує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особу та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підтверджує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її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спеціальний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статус</w:t>
            </w:r>
          </w:p>
          <w:p w:rsidR="00EA7B80" w:rsidRPr="00D51507" w:rsidRDefault="00EA7B80" w:rsidP="00034D1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Копія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одного з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передбачених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Податковим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кодексом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 з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даними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про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реєстраційний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номер </w:t>
            </w:r>
            <w:proofErr w:type="spellStart"/>
            <w:proofErr w:type="gram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gram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ікової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картки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платника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податків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крім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випадків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, коли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постраждалим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є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іноземець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, особа без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громадянства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або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особа, яка через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свої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релігійні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переконання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установленому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порядку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відмовилася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від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прийняття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реєстраційного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номера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облікової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картки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платника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податку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повідомила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про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це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відповідному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контролюючому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органу і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має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відмітку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паспорті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громадянина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) (</w:t>
            </w:r>
            <w:proofErr w:type="spellStart"/>
            <w:proofErr w:type="gram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ім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іноземців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осіб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без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громадянства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A7B80" w:rsidRPr="00D51507" w:rsidRDefault="00EA7B80" w:rsidP="00034D1A">
            <w:pPr>
              <w:shd w:val="clear" w:color="auto" w:fill="FFFFFF"/>
              <w:rPr>
                <w:rFonts w:ascii="Arial" w:hAnsi="Arial" w:cs="Arial"/>
                <w:color w:val="212529"/>
                <w:sz w:val="16"/>
                <w:szCs w:val="16"/>
              </w:rPr>
            </w:pP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Нотаріально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завірені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копії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документів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що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ідтверджують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наявність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права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власності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у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постраждалого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житло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на момент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подання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заяви про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проведення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обстеження</w:t>
            </w:r>
            <w:proofErr w:type="spellEnd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507">
              <w:rPr>
                <w:rFonts w:ascii="Times New Roman" w:hAnsi="Times New Roman" w:cs="Times New Roman"/>
                <w:sz w:val="16"/>
                <w:szCs w:val="16"/>
              </w:rPr>
              <w:t>житла</w:t>
            </w:r>
            <w:proofErr w:type="spellEnd"/>
          </w:p>
        </w:tc>
      </w:tr>
      <w:tr w:rsidR="00EA7B80" w:rsidRPr="005B6FD8" w:rsidTr="00034D1A">
        <w:tc>
          <w:tcPr>
            <w:tcW w:w="4725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10. Порядок та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спосіб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документів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необхідних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отримання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  <w:tc>
          <w:tcPr>
            <w:tcW w:w="4726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повного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пакету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документі</w:t>
            </w:r>
            <w:proofErr w:type="gram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spellEnd"/>
            <w:proofErr w:type="gramEnd"/>
          </w:p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A7B80" w:rsidRPr="005B6FD8" w:rsidTr="00034D1A">
        <w:tc>
          <w:tcPr>
            <w:tcW w:w="4725" w:type="dxa"/>
          </w:tcPr>
          <w:p w:rsidR="00EA7B80" w:rsidRPr="00A03199" w:rsidRDefault="00EA7B80" w:rsidP="00034D1A">
            <w:pPr>
              <w:pStyle w:val="5"/>
              <w:shd w:val="clear" w:color="auto" w:fill="FFFFFF"/>
              <w:spacing w:before="0" w:after="162"/>
              <w:rPr>
                <w:rFonts w:ascii="Arial" w:hAnsi="Arial" w:cs="Arial"/>
                <w:color w:val="212529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10.1.</w:t>
            </w:r>
            <w:r w:rsidRPr="00A03199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03199">
              <w:rPr>
                <w:rFonts w:ascii="Times New Roman" w:hAnsi="Times New Roman" w:cs="Times New Roman"/>
                <w:bCs/>
                <w:color w:val="212529"/>
                <w:sz w:val="16"/>
                <w:szCs w:val="16"/>
              </w:rPr>
              <w:t>Умови</w:t>
            </w:r>
            <w:proofErr w:type="spellEnd"/>
            <w:r w:rsidRPr="00A03199">
              <w:rPr>
                <w:rFonts w:ascii="Times New Roman" w:hAnsi="Times New Roman" w:cs="Times New Roman"/>
                <w:bCs/>
                <w:color w:val="212529"/>
                <w:sz w:val="16"/>
                <w:szCs w:val="16"/>
              </w:rPr>
              <w:t xml:space="preserve"> і </w:t>
            </w:r>
            <w:proofErr w:type="spellStart"/>
            <w:r w:rsidRPr="00A03199">
              <w:rPr>
                <w:rFonts w:ascii="Times New Roman" w:hAnsi="Times New Roman" w:cs="Times New Roman"/>
                <w:bCs/>
                <w:color w:val="212529"/>
                <w:sz w:val="16"/>
                <w:szCs w:val="16"/>
              </w:rPr>
              <w:t>випадки</w:t>
            </w:r>
            <w:proofErr w:type="spellEnd"/>
            <w:r w:rsidRPr="00A03199">
              <w:rPr>
                <w:rFonts w:ascii="Times New Roman" w:hAnsi="Times New Roman" w:cs="Times New Roman"/>
                <w:bCs/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rFonts w:ascii="Times New Roman" w:hAnsi="Times New Roman" w:cs="Times New Roman"/>
                <w:bCs/>
                <w:color w:val="212529"/>
                <w:sz w:val="16"/>
                <w:szCs w:val="16"/>
              </w:rPr>
              <w:t>надання</w:t>
            </w:r>
            <w:proofErr w:type="spellEnd"/>
          </w:p>
        </w:tc>
        <w:tc>
          <w:tcPr>
            <w:tcW w:w="4726" w:type="dxa"/>
          </w:tcPr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  <w:lang w:val="uk-UA"/>
              </w:rPr>
            </w:pPr>
            <w:r w:rsidRPr="00A03199">
              <w:rPr>
                <w:color w:val="212529"/>
                <w:sz w:val="16"/>
                <w:szCs w:val="16"/>
                <w:lang w:val="uk-UA"/>
              </w:rPr>
              <w:t>Грошова компенсація надається постраждалим, які є власниками житла, яке перебуває на контрольованих Україною територіях та було зруйновано після 14 квітня 2014 року внаслідок надзвичайної ситуації воєнного характеру, спричиненої збройною агресією Російської Федерації.</w:t>
            </w: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  <w:lang w:val="uk-UA"/>
              </w:rPr>
            </w:pP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  <w:lang w:val="uk-UA"/>
              </w:rPr>
            </w:pPr>
            <w:r w:rsidRPr="00A03199">
              <w:rPr>
                <w:color w:val="212529"/>
                <w:sz w:val="16"/>
                <w:szCs w:val="16"/>
                <w:lang w:val="uk-UA"/>
              </w:rPr>
              <w:t>Щоб отримати грошову компенсацію необхідно подати до органів місцевого самоврядування, а у разі їх відсутності - відповідних військово-цивільних адміністрацій населених пунктів за місцем розташування житла перший пакет документів, визначений у переліку, на кожен окремий об’єкт житла.</w:t>
            </w: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  <w:lang w:val="uk-UA"/>
              </w:rPr>
            </w:pP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</w:rPr>
            </w:pPr>
            <w:proofErr w:type="spellStart"/>
            <w:r w:rsidRPr="00A03199">
              <w:rPr>
                <w:color w:val="212529"/>
                <w:sz w:val="16"/>
                <w:szCs w:val="16"/>
              </w:rPr>
              <w:t>Протягом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5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календарних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днів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з моменту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надходження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заяви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заявник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отримує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повідомлення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про </w:t>
            </w:r>
            <w:proofErr w:type="spellStart"/>
            <w:proofErr w:type="gramStart"/>
            <w:r w:rsidRPr="00A03199">
              <w:rPr>
                <w:color w:val="212529"/>
                <w:sz w:val="16"/>
                <w:szCs w:val="16"/>
              </w:rPr>
              <w:t>р</w:t>
            </w:r>
            <w:proofErr w:type="gramEnd"/>
            <w:r w:rsidRPr="00A03199">
              <w:rPr>
                <w:color w:val="212529"/>
                <w:sz w:val="16"/>
                <w:szCs w:val="16"/>
              </w:rPr>
              <w:t>ішення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та дату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проведення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обстеження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житла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(яке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здійснюється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у строк не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більше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30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календарних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днів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з моменту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прийняття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такого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рішення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>).</w:t>
            </w: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</w:rPr>
            </w:pP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</w:rPr>
            </w:pPr>
            <w:proofErr w:type="spellStart"/>
            <w:r w:rsidRPr="00A03199">
              <w:rPr>
                <w:color w:val="212529"/>
                <w:sz w:val="16"/>
                <w:szCs w:val="16"/>
              </w:rPr>
              <w:t>Протягом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3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робочих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днів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з моменту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проведення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обстеження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безоплатно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заявник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отримує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від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органу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місцевого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самоврядування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>/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військово-цивільної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03199">
              <w:rPr>
                <w:color w:val="212529"/>
                <w:sz w:val="16"/>
                <w:szCs w:val="16"/>
              </w:rPr>
              <w:t>адм</w:t>
            </w:r>
            <w:proofErr w:type="gramEnd"/>
            <w:r w:rsidRPr="00A03199">
              <w:rPr>
                <w:color w:val="212529"/>
                <w:sz w:val="16"/>
                <w:szCs w:val="16"/>
              </w:rPr>
              <w:t>іністрації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>:</w:t>
            </w: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</w:rPr>
            </w:pPr>
            <w:r w:rsidRPr="00A03199">
              <w:rPr>
                <w:color w:val="212529"/>
                <w:sz w:val="16"/>
                <w:szCs w:val="16"/>
              </w:rPr>
              <w:t xml:space="preserve">акт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обстеження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житла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>;</w:t>
            </w: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</w:rPr>
            </w:pPr>
            <w:proofErr w:type="spellStart"/>
            <w:r w:rsidRPr="00A03199">
              <w:rPr>
                <w:color w:val="212529"/>
                <w:sz w:val="16"/>
                <w:szCs w:val="16"/>
              </w:rPr>
              <w:t>довідку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про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визнання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особи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постраждалою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внаслідок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надзвичайної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ситуації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>.</w:t>
            </w: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</w:rPr>
            </w:pP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</w:rPr>
            </w:pPr>
            <w:proofErr w:type="spellStart"/>
            <w:r w:rsidRPr="00A03199">
              <w:rPr>
                <w:color w:val="212529"/>
                <w:sz w:val="16"/>
                <w:szCs w:val="16"/>
              </w:rPr>
              <w:t>Наступник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кроком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необхідно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зареєструвати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у Державному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реє</w:t>
            </w:r>
            <w:proofErr w:type="gramStart"/>
            <w:r w:rsidRPr="00A03199">
              <w:rPr>
                <w:color w:val="212529"/>
                <w:sz w:val="16"/>
                <w:szCs w:val="16"/>
              </w:rPr>
              <w:t>стр</w:t>
            </w:r>
            <w:proofErr w:type="gramEnd"/>
            <w:r w:rsidRPr="00A03199">
              <w:rPr>
                <w:color w:val="212529"/>
                <w:sz w:val="16"/>
                <w:szCs w:val="16"/>
              </w:rPr>
              <w:t>і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речових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прав на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нерухоме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майно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припинення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права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власності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на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зруйноване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житло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>.</w:t>
            </w: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</w:rPr>
            </w:pPr>
            <w:r w:rsidRPr="00A03199">
              <w:rPr>
                <w:color w:val="212529"/>
                <w:sz w:val="16"/>
                <w:szCs w:val="16"/>
              </w:rPr>
              <w:t xml:space="preserve">Для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цього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слід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звернутися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до державного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реєстратора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та подати:</w:t>
            </w: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</w:rPr>
            </w:pPr>
            <w:r w:rsidRPr="00A03199">
              <w:rPr>
                <w:color w:val="212529"/>
                <w:sz w:val="16"/>
                <w:szCs w:val="16"/>
              </w:rPr>
              <w:t xml:space="preserve">акт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обстеження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житла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>;</w:t>
            </w: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</w:rPr>
            </w:pPr>
            <w:r w:rsidRPr="00A03199">
              <w:rPr>
                <w:color w:val="212529"/>
                <w:sz w:val="16"/>
                <w:szCs w:val="16"/>
              </w:rPr>
              <w:t xml:space="preserve">документ,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що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посвідчує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право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власності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gramStart"/>
            <w:r w:rsidRPr="00A03199">
              <w:rPr>
                <w:color w:val="212529"/>
                <w:sz w:val="16"/>
                <w:szCs w:val="16"/>
              </w:rPr>
              <w:t>на</w:t>
            </w:r>
            <w:proofErr w:type="gram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об’єкт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нерухомого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майна.</w:t>
            </w: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</w:rPr>
            </w:pP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</w:rPr>
            </w:pPr>
            <w:proofErr w:type="spellStart"/>
            <w:proofErr w:type="gramStart"/>
            <w:r w:rsidRPr="00A03199">
              <w:rPr>
                <w:color w:val="212529"/>
                <w:sz w:val="16"/>
                <w:szCs w:val="16"/>
              </w:rPr>
              <w:t>П</w:t>
            </w:r>
            <w:proofErr w:type="gramEnd"/>
            <w:r w:rsidRPr="00A03199">
              <w:rPr>
                <w:color w:val="212529"/>
                <w:sz w:val="16"/>
                <w:szCs w:val="16"/>
              </w:rPr>
              <w:t>ісля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отримання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довідки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про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визнання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особи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постраждалою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внаслідок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надзвичайної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ситуації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постраждалі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,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їх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законні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представники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або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представники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,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які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діють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на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підставі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нотаріально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посвідченої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довіреності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,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додатково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подають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другий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пакет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документів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органам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місцевого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самоврядування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, а в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разі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їх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відсутності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-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військово-цивільним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адміністраціям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населених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пунктів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>:</w:t>
            </w: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</w:rPr>
            </w:pPr>
            <w:r w:rsidRPr="00A03199">
              <w:rPr>
                <w:color w:val="212529"/>
                <w:sz w:val="16"/>
                <w:szCs w:val="16"/>
              </w:rPr>
              <w:t xml:space="preserve">1)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заяву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у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довільній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формі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про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виплату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грошової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компенсації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. У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заяві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зазначаються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реквізити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банківської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картки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(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карткового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рахунка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у банку), на яку (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який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)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перераховується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компенсація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, та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зазначається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,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що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заявник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не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звертався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за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виплатою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до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інших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органів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місцевого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самоврядування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, а в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разі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їх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відсутності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-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військово-цивільних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03199">
              <w:rPr>
                <w:color w:val="212529"/>
                <w:sz w:val="16"/>
                <w:szCs w:val="16"/>
              </w:rPr>
              <w:t>адм</w:t>
            </w:r>
            <w:proofErr w:type="gramEnd"/>
            <w:r w:rsidRPr="00A03199">
              <w:rPr>
                <w:color w:val="212529"/>
                <w:sz w:val="16"/>
                <w:szCs w:val="16"/>
              </w:rPr>
              <w:t>іністрацій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населених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пункті</w:t>
            </w:r>
            <w:proofErr w:type="gramStart"/>
            <w:r w:rsidRPr="00A03199">
              <w:rPr>
                <w:color w:val="212529"/>
                <w:sz w:val="16"/>
                <w:szCs w:val="16"/>
              </w:rPr>
              <w:t>в</w:t>
            </w:r>
            <w:proofErr w:type="spellEnd"/>
            <w:proofErr w:type="gramEnd"/>
            <w:r w:rsidRPr="00A03199">
              <w:rPr>
                <w:color w:val="212529"/>
                <w:sz w:val="16"/>
                <w:szCs w:val="16"/>
              </w:rPr>
              <w:t>;</w:t>
            </w: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</w:rPr>
            </w:pPr>
            <w:r w:rsidRPr="00A03199">
              <w:rPr>
                <w:color w:val="212529"/>
                <w:sz w:val="16"/>
                <w:szCs w:val="16"/>
              </w:rPr>
              <w:t xml:space="preserve">2)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копію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довідки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про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визнання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особи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постраждалою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внаслідок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надзвичайної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ситуації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>;</w:t>
            </w: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</w:rPr>
            </w:pPr>
            <w:r w:rsidRPr="00A03199">
              <w:rPr>
                <w:color w:val="212529"/>
                <w:sz w:val="16"/>
                <w:szCs w:val="16"/>
              </w:rPr>
              <w:t xml:space="preserve">3)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копію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акта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обстеження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житла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>;</w:t>
            </w: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</w:rPr>
            </w:pPr>
            <w:r w:rsidRPr="00A03199">
              <w:rPr>
                <w:color w:val="212529"/>
                <w:sz w:val="16"/>
                <w:szCs w:val="16"/>
              </w:rPr>
              <w:t xml:space="preserve">4)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інформаційну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довідку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(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витяг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) з Державного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реєстру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речових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прав на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нерухоме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майно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про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припинення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права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власності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на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житло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у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зв’язку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з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його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знищенням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, яка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видається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в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установленому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порядку на </w:t>
            </w:r>
            <w:proofErr w:type="spellStart"/>
            <w:proofErr w:type="gramStart"/>
            <w:r w:rsidRPr="00A03199">
              <w:rPr>
                <w:color w:val="212529"/>
                <w:sz w:val="16"/>
                <w:szCs w:val="16"/>
              </w:rPr>
              <w:t>п</w:t>
            </w:r>
            <w:proofErr w:type="gramEnd"/>
            <w:r w:rsidRPr="00A03199">
              <w:rPr>
                <w:color w:val="212529"/>
                <w:sz w:val="16"/>
                <w:szCs w:val="16"/>
              </w:rPr>
              <w:t>ідставі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акта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обстеження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житла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>.</w:t>
            </w: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6"/>
                <w:szCs w:val="16"/>
              </w:rPr>
            </w:pPr>
          </w:p>
          <w:p w:rsidR="00EA7B80" w:rsidRPr="00A03199" w:rsidRDefault="00EA7B80" w:rsidP="00034D1A">
            <w:pPr>
              <w:pStyle w:val="a5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rFonts w:ascii="Arial" w:hAnsi="Arial" w:cs="Arial"/>
                <w:color w:val="212529"/>
                <w:sz w:val="16"/>
                <w:szCs w:val="16"/>
              </w:rPr>
            </w:pPr>
            <w:proofErr w:type="spellStart"/>
            <w:r w:rsidRPr="00A03199">
              <w:rPr>
                <w:color w:val="212529"/>
                <w:sz w:val="16"/>
                <w:szCs w:val="16"/>
              </w:rPr>
              <w:t>Протягом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3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робочих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днів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з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дати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прийняття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постраждалому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надсилається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03199">
              <w:rPr>
                <w:color w:val="212529"/>
                <w:sz w:val="16"/>
                <w:szCs w:val="16"/>
              </w:rPr>
              <w:t>р</w:t>
            </w:r>
            <w:proofErr w:type="gramEnd"/>
            <w:r w:rsidRPr="00A03199">
              <w:rPr>
                <w:color w:val="212529"/>
                <w:sz w:val="16"/>
                <w:szCs w:val="16"/>
              </w:rPr>
              <w:t>ішення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щодо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надання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(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із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зазначенням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розміру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)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або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відмови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в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наданні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грошової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A03199">
              <w:rPr>
                <w:color w:val="212529"/>
                <w:sz w:val="16"/>
                <w:szCs w:val="16"/>
              </w:rPr>
              <w:t>компенсації</w:t>
            </w:r>
            <w:proofErr w:type="spellEnd"/>
            <w:r w:rsidRPr="00A03199">
              <w:rPr>
                <w:color w:val="212529"/>
                <w:sz w:val="16"/>
                <w:szCs w:val="16"/>
              </w:rPr>
              <w:t>.</w:t>
            </w:r>
          </w:p>
        </w:tc>
      </w:tr>
      <w:tr w:rsidR="00EA7B80" w:rsidRPr="005B6FD8" w:rsidTr="00034D1A">
        <w:tc>
          <w:tcPr>
            <w:tcW w:w="9451" w:type="dxa"/>
            <w:gridSpan w:val="2"/>
          </w:tcPr>
          <w:p w:rsidR="00EA7B80" w:rsidRPr="005B6FD8" w:rsidRDefault="00EA7B80" w:rsidP="00034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gram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</w:t>
            </w:r>
            <w:proofErr w:type="gram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разі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платності</w:t>
            </w:r>
            <w:proofErr w:type="spellEnd"/>
            <w:r w:rsidRPr="005B6FD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EA7B80" w:rsidRPr="005B6FD8" w:rsidTr="00034D1A">
        <w:tc>
          <w:tcPr>
            <w:tcW w:w="4725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11.1. Нормативно-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правові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на </w:t>
            </w:r>
            <w:proofErr w:type="spellStart"/>
            <w:proofErr w:type="gram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ідставі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яких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стягується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плата</w:t>
            </w:r>
          </w:p>
        </w:tc>
        <w:tc>
          <w:tcPr>
            <w:tcW w:w="4726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A7B80" w:rsidRPr="005B6FD8" w:rsidTr="00034D1A">
        <w:tc>
          <w:tcPr>
            <w:tcW w:w="4725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11.2.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Розмі</w:t>
            </w:r>
            <w:proofErr w:type="gram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spellEnd"/>
            <w:proofErr w:type="gram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порядок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внесення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плати(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адміністративного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збору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за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платну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адміністративну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послугу</w:t>
            </w:r>
            <w:proofErr w:type="spellEnd"/>
          </w:p>
        </w:tc>
        <w:tc>
          <w:tcPr>
            <w:tcW w:w="4726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Безкоштовно</w:t>
            </w:r>
          </w:p>
        </w:tc>
      </w:tr>
      <w:tr w:rsidR="00EA7B80" w:rsidRPr="005B6FD8" w:rsidTr="00034D1A">
        <w:tc>
          <w:tcPr>
            <w:tcW w:w="4725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11.3.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Розрахунковий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рахунок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внесення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плати</w:t>
            </w:r>
          </w:p>
        </w:tc>
        <w:tc>
          <w:tcPr>
            <w:tcW w:w="4726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A7B80" w:rsidRPr="00513525" w:rsidTr="00034D1A">
        <w:tc>
          <w:tcPr>
            <w:tcW w:w="4725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12. Строк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726" w:type="dxa"/>
          </w:tcPr>
          <w:p w:rsidR="00EA7B80" w:rsidRPr="00F55350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5535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до 30 </w:t>
            </w:r>
            <w:proofErr w:type="spellStart"/>
            <w:r w:rsidRPr="00F5535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днів</w:t>
            </w:r>
            <w:proofErr w:type="spellEnd"/>
          </w:p>
        </w:tc>
      </w:tr>
      <w:tr w:rsidR="00EA7B80" w:rsidRPr="005B6FD8" w:rsidTr="00034D1A">
        <w:tc>
          <w:tcPr>
            <w:tcW w:w="4725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Перелік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ідстав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відмови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наданні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  <w:tc>
          <w:tcPr>
            <w:tcW w:w="4726" w:type="dxa"/>
          </w:tcPr>
          <w:p w:rsidR="00EA7B80" w:rsidRPr="00F55350" w:rsidRDefault="00EA7B80" w:rsidP="00034D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12529"/>
                <w:sz w:val="16"/>
                <w:szCs w:val="16"/>
                <w:lang w:val="uk-UA"/>
              </w:rPr>
              <w:t xml:space="preserve">1. </w:t>
            </w:r>
            <w:proofErr w:type="spellStart"/>
            <w:proofErr w:type="gramStart"/>
            <w:r w:rsidRPr="00F55350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>Р</w:t>
            </w:r>
            <w:proofErr w:type="gramEnd"/>
            <w:r w:rsidRPr="00F55350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>ішення</w:t>
            </w:r>
            <w:proofErr w:type="spellEnd"/>
            <w:r w:rsidRPr="00F55350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 xml:space="preserve"> про </w:t>
            </w:r>
            <w:proofErr w:type="spellStart"/>
            <w:r w:rsidRPr="00F55350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>надання</w:t>
            </w:r>
            <w:proofErr w:type="spellEnd"/>
            <w:r w:rsidRPr="00F55350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F55350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>грошової</w:t>
            </w:r>
            <w:proofErr w:type="spellEnd"/>
            <w:r w:rsidRPr="00F55350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F55350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>компенсації</w:t>
            </w:r>
            <w:proofErr w:type="spellEnd"/>
          </w:p>
          <w:p w:rsidR="00EA7B80" w:rsidRPr="00F55350" w:rsidRDefault="00EA7B80" w:rsidP="00034D1A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12529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z w:val="16"/>
                <w:szCs w:val="16"/>
                <w:lang w:val="uk-UA"/>
              </w:rPr>
              <w:t xml:space="preserve">2. </w:t>
            </w:r>
            <w:proofErr w:type="spellStart"/>
            <w:proofErr w:type="gramStart"/>
            <w:r w:rsidRPr="00F55350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>Р</w:t>
            </w:r>
            <w:proofErr w:type="gramEnd"/>
            <w:r w:rsidRPr="00F55350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>ішення</w:t>
            </w:r>
            <w:proofErr w:type="spellEnd"/>
            <w:r w:rsidRPr="00F55350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 xml:space="preserve"> про </w:t>
            </w:r>
            <w:proofErr w:type="spellStart"/>
            <w:r w:rsidRPr="00F55350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>відмову</w:t>
            </w:r>
            <w:proofErr w:type="spellEnd"/>
            <w:r w:rsidRPr="00F55350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 xml:space="preserve"> у </w:t>
            </w:r>
            <w:proofErr w:type="spellStart"/>
            <w:r w:rsidRPr="00F55350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>наданні</w:t>
            </w:r>
            <w:proofErr w:type="spellEnd"/>
            <w:r w:rsidRPr="00F55350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F55350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>грошової</w:t>
            </w:r>
            <w:proofErr w:type="spellEnd"/>
            <w:r w:rsidRPr="00F55350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 xml:space="preserve"> </w:t>
            </w:r>
            <w:proofErr w:type="spellStart"/>
            <w:r w:rsidRPr="00F55350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>компенсації</w:t>
            </w:r>
            <w:proofErr w:type="spellEnd"/>
          </w:p>
        </w:tc>
      </w:tr>
      <w:tr w:rsidR="00EA7B80" w:rsidRPr="005B6FD8" w:rsidTr="00034D1A">
        <w:tc>
          <w:tcPr>
            <w:tcW w:w="4725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14. Результат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  <w:tc>
          <w:tcPr>
            <w:tcW w:w="4726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0" w:name="_GoBack"/>
            <w:r w:rsidRPr="005B6FD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Паспорт прив’язки тимчасової споруди для провадження підприємницької діяльності зі змінами в частині фасадів</w:t>
            </w:r>
            <w:bookmarkEnd w:id="0"/>
          </w:p>
        </w:tc>
      </w:tr>
      <w:tr w:rsidR="00EA7B80" w:rsidRPr="005B6FD8" w:rsidTr="00034D1A">
        <w:tc>
          <w:tcPr>
            <w:tcW w:w="4725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Способи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отримання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відповіді</w:t>
            </w:r>
            <w:proofErr w:type="spellEnd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(результату)</w:t>
            </w:r>
          </w:p>
        </w:tc>
        <w:tc>
          <w:tcPr>
            <w:tcW w:w="4726" w:type="dxa"/>
          </w:tcPr>
          <w:p w:rsidR="00EA7B80" w:rsidRPr="00864E6B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Отримати</w:t>
            </w:r>
            <w:proofErr w:type="spellEnd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результати</w:t>
            </w:r>
            <w:proofErr w:type="spellEnd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надання</w:t>
            </w:r>
            <w:proofErr w:type="spellEnd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послуги</w:t>
            </w:r>
            <w:proofErr w:type="spellEnd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заявник</w:t>
            </w:r>
            <w:proofErr w:type="spellEnd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може</w:t>
            </w:r>
            <w:proofErr w:type="spellEnd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особисто</w:t>
            </w:r>
            <w:proofErr w:type="spellEnd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або</w:t>
            </w:r>
            <w:proofErr w:type="spellEnd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через </w:t>
            </w:r>
            <w:proofErr w:type="gramStart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законного</w:t>
            </w:r>
            <w:proofErr w:type="gramEnd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представника</w:t>
            </w:r>
            <w:proofErr w:type="spellEnd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поштовим</w:t>
            </w:r>
            <w:proofErr w:type="spellEnd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відправленням</w:t>
            </w:r>
            <w:proofErr w:type="spellEnd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на </w:t>
            </w:r>
            <w:proofErr w:type="spellStart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вказану</w:t>
            </w:r>
            <w:proofErr w:type="spellEnd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при </w:t>
            </w:r>
            <w:proofErr w:type="spellStart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поданні</w:t>
            </w:r>
            <w:proofErr w:type="spellEnd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заяви адресу (</w:t>
            </w:r>
            <w:proofErr w:type="spellStart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рекомендованим</w:t>
            </w:r>
            <w:proofErr w:type="spellEnd"/>
            <w:r w:rsidRPr="00864E6B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листом).</w:t>
            </w:r>
          </w:p>
        </w:tc>
      </w:tr>
      <w:tr w:rsidR="00EA7B80" w:rsidRPr="005B6FD8" w:rsidTr="00034D1A">
        <w:tc>
          <w:tcPr>
            <w:tcW w:w="4725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16. </w:t>
            </w:r>
            <w:proofErr w:type="spellStart"/>
            <w:r w:rsidRPr="005B6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Примітка</w:t>
            </w:r>
            <w:proofErr w:type="spellEnd"/>
          </w:p>
        </w:tc>
        <w:tc>
          <w:tcPr>
            <w:tcW w:w="4726" w:type="dxa"/>
          </w:tcPr>
          <w:p w:rsidR="00EA7B80" w:rsidRPr="005B6FD8" w:rsidRDefault="00EA7B80" w:rsidP="00034D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9C164B" w:rsidRPr="00EA7B80" w:rsidRDefault="009C164B" w:rsidP="00EA7B80">
      <w:pPr>
        <w:rPr>
          <w:lang w:val="uk-UA"/>
        </w:rPr>
      </w:pPr>
    </w:p>
    <w:sectPr w:rsidR="009C164B" w:rsidRPr="00EA7B80" w:rsidSect="009C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80"/>
    <w:rsid w:val="00042514"/>
    <w:rsid w:val="00060DE7"/>
    <w:rsid w:val="000E09CB"/>
    <w:rsid w:val="001A7D58"/>
    <w:rsid w:val="003A21FE"/>
    <w:rsid w:val="00512845"/>
    <w:rsid w:val="009C164B"/>
    <w:rsid w:val="00BC031C"/>
    <w:rsid w:val="00BF0C59"/>
    <w:rsid w:val="00EA7B80"/>
    <w:rsid w:val="00FA1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80"/>
    <w:rPr>
      <w:rFonts w:ascii="Calibri" w:eastAsia="Times New Roman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EA7B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A7B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B80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rsid w:val="00EA7B8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ru-RU"/>
    </w:rPr>
  </w:style>
  <w:style w:type="table" w:styleId="a3">
    <w:name w:val="Table Grid"/>
    <w:basedOn w:val="a1"/>
    <w:uiPriority w:val="59"/>
    <w:rsid w:val="00EA7B80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7B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A7B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80"/>
    <w:rPr>
      <w:rFonts w:ascii="Calibri" w:eastAsia="Times New Roman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EA7B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A7B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B80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rsid w:val="00EA7B8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ru-RU"/>
    </w:rPr>
  </w:style>
  <w:style w:type="table" w:styleId="a3">
    <w:name w:val="Table Grid"/>
    <w:basedOn w:val="a1"/>
    <w:uiPriority w:val="59"/>
    <w:rsid w:val="00EA7B80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7B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A7B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1978@i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napsl10b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mbox2.i.ua/compose/1714306695/?cto=HyIaGfgYF33vJUowTRYubIRd%2FigbBxxQNxtVVI7Jv5qfpZ2gvMF8fJZxosybgpVulqzEig%3D%3D" TargetMode="External"/><Relationship Id="rId11" Type="http://schemas.openxmlformats.org/officeDocument/2006/relationships/hyperlink" Target="https://zakon.rada.gov.ua/laws/file/text/82/f498038n118.doc" TargetMode="External"/><Relationship Id="rId5" Type="http://schemas.openxmlformats.org/officeDocument/2006/relationships/image" Target="media/image1.jpeg"/><Relationship Id="rId15" Type="http://schemas.openxmlformats.org/officeDocument/2006/relationships/customXml" Target="../customXml/item2.xml"/><Relationship Id="rId10" Type="http://schemas.openxmlformats.org/officeDocument/2006/relationships/hyperlink" Target="https://zakon.rada.gov.ua/laws/show/767-2020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456-17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4C5830-F532-4272-B025-0BB5F686D41D}"/>
</file>

<file path=customXml/itemProps2.xml><?xml version="1.0" encoding="utf-8"?>
<ds:datastoreItem xmlns:ds="http://schemas.openxmlformats.org/officeDocument/2006/customXml" ds:itemID="{DFB5A7D4-3B1D-4266-9AD4-7AA8127F94EC}"/>
</file>

<file path=customXml/itemProps3.xml><?xml version="1.0" encoding="utf-8"?>
<ds:datastoreItem xmlns:ds="http://schemas.openxmlformats.org/officeDocument/2006/customXml" ds:itemID="{E867FD01-E72E-4ABB-9771-AD8AAC1B75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Admin</cp:lastModifiedBy>
  <cp:revision>2</cp:revision>
  <dcterms:created xsi:type="dcterms:W3CDTF">2022-11-01T20:56:00Z</dcterms:created>
  <dcterms:modified xsi:type="dcterms:W3CDTF">2022-11-01T20:56:00Z</dcterms:modified>
</cp:coreProperties>
</file>